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EE2F06">
      <w:pPr>
        <w:pStyle w:val="3"/>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b/>
          <w:bCs/>
          <w:spacing w:val="-4"/>
          <w:sz w:val="30"/>
          <w:szCs w:val="30"/>
        </w:rPr>
      </w:pPr>
      <w:r>
        <w:rPr>
          <w:rFonts w:hint="eastAsia"/>
          <w:b/>
          <w:bCs/>
          <w:spacing w:val="-4"/>
          <w:sz w:val="30"/>
          <w:szCs w:val="30"/>
        </w:rPr>
        <w:t>申万宏源证券承销保荐有限责任公司</w:t>
      </w:r>
    </w:p>
    <w:p w14:paraId="072DF697">
      <w:pPr>
        <w:pStyle w:val="3"/>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b/>
          <w:bCs/>
          <w:spacing w:val="-3"/>
          <w:sz w:val="30"/>
          <w:szCs w:val="30"/>
        </w:rPr>
      </w:pPr>
      <w:r>
        <w:rPr>
          <w:b/>
          <w:bCs/>
          <w:spacing w:val="-3"/>
          <w:sz w:val="30"/>
          <w:szCs w:val="30"/>
        </w:rPr>
        <w:t>关于</w:t>
      </w:r>
      <w:r>
        <w:rPr>
          <w:rFonts w:hint="eastAsia"/>
          <w:b/>
          <w:bCs/>
          <w:spacing w:val="-3"/>
          <w:sz w:val="30"/>
          <w:szCs w:val="30"/>
          <w:lang w:eastAsia="zh-CN"/>
        </w:rPr>
        <w:t>江苏中利集团股份有限公司</w:t>
      </w:r>
      <w:r>
        <w:rPr>
          <w:b/>
          <w:bCs/>
          <w:spacing w:val="-3"/>
          <w:sz w:val="30"/>
          <w:szCs w:val="30"/>
        </w:rPr>
        <w:t>重整投资人受让资本公积</w:t>
      </w:r>
    </w:p>
    <w:p w14:paraId="47B443D2">
      <w:pPr>
        <w:pStyle w:val="3"/>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sz w:val="30"/>
          <w:szCs w:val="30"/>
        </w:rPr>
      </w:pPr>
      <w:r>
        <w:rPr>
          <w:b/>
          <w:bCs/>
          <w:spacing w:val="-3"/>
          <w:sz w:val="30"/>
          <w:szCs w:val="30"/>
        </w:rPr>
        <w:t>转增的部分限售股份上市流通的核查意见</w:t>
      </w:r>
    </w:p>
    <w:p w14:paraId="05C06F0C">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left="0" w:right="0" w:firstLine="464" w:firstLineChars="200"/>
        <w:jc w:val="both"/>
        <w:textAlignment w:val="baseline"/>
      </w:pPr>
      <w:r>
        <w:rPr>
          <w:rFonts w:hint="eastAsia"/>
          <w:spacing w:val="-4"/>
          <w:lang w:eastAsia="zh-CN"/>
        </w:rPr>
        <w:t>申万宏源证券承销保荐有限责任公司</w:t>
      </w:r>
      <w:r>
        <w:rPr>
          <w:spacing w:val="-4"/>
        </w:rPr>
        <w:t>（以下简称“财务顾问”</w:t>
      </w:r>
      <w:r>
        <w:rPr>
          <w:spacing w:val="-5"/>
        </w:rPr>
        <w:t>）根据《中华人民共和国公</w:t>
      </w:r>
      <w:r>
        <w:rPr>
          <w:spacing w:val="-10"/>
        </w:rPr>
        <w:t>司法》《中华人民共和国证券法》《深圳证券交易所股票上市规则》《深圳证券交</w:t>
      </w:r>
      <w:r>
        <w:rPr>
          <w:spacing w:val="-1"/>
        </w:rPr>
        <w:t>易所上市公司自律监管指引第</w:t>
      </w:r>
      <w:r>
        <w:rPr>
          <w:rFonts w:ascii="Times New Roman" w:hAnsi="Times New Roman" w:eastAsia="Times New Roman" w:cs="Times New Roman"/>
          <w:spacing w:val="-1"/>
        </w:rPr>
        <w:t>14</w:t>
      </w:r>
      <w:r>
        <w:rPr>
          <w:spacing w:val="-1"/>
        </w:rPr>
        <w:t>号——破产重整等事项》的相关规定，对</w:t>
      </w:r>
      <w:r>
        <w:rPr>
          <w:rFonts w:hint="eastAsia"/>
          <w:spacing w:val="-1"/>
          <w:lang w:eastAsia="zh-CN"/>
        </w:rPr>
        <w:t>江苏中利集团股份有限公司</w:t>
      </w:r>
      <w:r>
        <w:rPr>
          <w:spacing w:val="-12"/>
        </w:rPr>
        <w:t>（以下简称“公司”、“上市公司</w:t>
      </w:r>
      <w:r>
        <w:rPr>
          <w:spacing w:val="-13"/>
        </w:rPr>
        <w:t>”或“</w:t>
      </w:r>
      <w:r>
        <w:rPr>
          <w:rFonts w:hint="eastAsia"/>
          <w:spacing w:val="-13"/>
          <w:lang w:eastAsia="zh-CN"/>
        </w:rPr>
        <w:t>中利集团</w:t>
      </w:r>
      <w:r>
        <w:rPr>
          <w:spacing w:val="-13"/>
        </w:rPr>
        <w:t>”）重整</w:t>
      </w:r>
      <w:r>
        <w:rPr>
          <w:spacing w:val="-3"/>
        </w:rPr>
        <w:t>投资人受让资本公积转增的部分限售股份将上市流通事项进行了审慎核查，具体情况如下：</w:t>
      </w:r>
    </w:p>
    <w:p w14:paraId="23608D4A">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left="0" w:right="0" w:firstLine="466" w:firstLineChars="200"/>
        <w:jc w:val="both"/>
        <w:textAlignment w:val="baseline"/>
        <w:rPr>
          <w:rFonts w:hint="eastAsia"/>
          <w:b/>
          <w:bCs/>
          <w:spacing w:val="-4"/>
          <w:lang w:val="en-US" w:eastAsia="zh-CN"/>
        </w:rPr>
      </w:pPr>
      <w:r>
        <w:rPr>
          <w:rFonts w:hint="eastAsia"/>
          <w:b/>
          <w:bCs/>
          <w:spacing w:val="-4"/>
          <w:lang w:val="en-US" w:eastAsia="zh-CN"/>
        </w:rPr>
        <w:t>一、本次上市流通的限售股类型</w:t>
      </w:r>
    </w:p>
    <w:p w14:paraId="7C36460A">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left="0" w:right="0" w:firstLine="464" w:firstLineChars="200"/>
        <w:jc w:val="both"/>
        <w:textAlignment w:val="baseline"/>
        <w:rPr>
          <w:rFonts w:hint="eastAsia" w:ascii="Times New Roman" w:hAnsi="Times New Roman" w:eastAsia="宋体"/>
          <w:b w:val="0"/>
          <w:spacing w:val="-4"/>
          <w:lang w:eastAsia="zh-CN"/>
        </w:rPr>
      </w:pPr>
      <w:r>
        <w:rPr>
          <w:rFonts w:hint="eastAsia" w:ascii="Times New Roman" w:hAnsi="Times New Roman" w:eastAsia="宋体"/>
          <w:b w:val="0"/>
          <w:spacing w:val="-4"/>
          <w:lang w:val="en-US" w:eastAsia="zh-CN"/>
        </w:rPr>
        <w:t>2</w:t>
      </w:r>
      <w:r>
        <w:rPr>
          <w:rFonts w:hint="eastAsia" w:ascii="Times New Roman" w:hAnsi="Times New Roman" w:eastAsia="宋体"/>
          <w:b w:val="0"/>
          <w:spacing w:val="-4"/>
          <w:lang w:eastAsia="zh-CN"/>
        </w:rPr>
        <w:t>024年11月8日，公司收到苏州中院送达的（2024）苏05破50号《民事裁定书》，受理申请人对公司的重整申请并指定管理人（公告编号：2024-113)。</w:t>
      </w:r>
    </w:p>
    <w:p w14:paraId="2A356798">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left="0" w:right="0" w:firstLine="464" w:firstLineChars="200"/>
        <w:jc w:val="both"/>
        <w:textAlignment w:val="baseline"/>
        <w:rPr>
          <w:rFonts w:hint="eastAsia" w:ascii="Times New Roman" w:hAnsi="Times New Roman" w:eastAsia="宋体"/>
          <w:b w:val="0"/>
          <w:spacing w:val="-4"/>
          <w:lang w:eastAsia="zh-CN"/>
        </w:rPr>
      </w:pPr>
      <w:r>
        <w:rPr>
          <w:rFonts w:hint="eastAsia" w:ascii="Times New Roman" w:hAnsi="Times New Roman" w:eastAsia="宋体"/>
          <w:b w:val="0"/>
          <w:spacing w:val="-4"/>
          <w:lang w:eastAsia="zh-CN"/>
        </w:rPr>
        <w:t>2024年12月4日，公司召开</w:t>
      </w:r>
      <w:r>
        <w:rPr>
          <w:rFonts w:hint="eastAsia" w:ascii="Times New Roman" w:hAnsi="Times New Roman"/>
          <w:b w:val="0"/>
          <w:spacing w:val="-4"/>
          <w:lang w:val="en-US" w:eastAsia="zh-CN"/>
        </w:rPr>
        <w:t>了</w:t>
      </w:r>
      <w:r>
        <w:rPr>
          <w:rFonts w:hint="eastAsia" w:ascii="Times New Roman" w:hAnsi="Times New Roman" w:eastAsia="宋体"/>
          <w:b w:val="0"/>
          <w:spacing w:val="-4"/>
          <w:lang w:eastAsia="zh-CN"/>
        </w:rPr>
        <w:t>出资人组会议及2024年第二次临时股东大会，</w:t>
      </w:r>
      <w:r>
        <w:rPr>
          <w:rFonts w:hint="eastAsia" w:ascii="Times New Roman" w:hAnsi="Times New Roman"/>
          <w:b w:val="0"/>
          <w:spacing w:val="-4"/>
          <w:lang w:val="en-US" w:eastAsia="zh-CN"/>
        </w:rPr>
        <w:t>审议通过了《江苏中利集团股份有限公司重整计划（草案）之出资人权益调整方案》等议案（公告编号：2024-127）。同日，公司召开了第一次债权人会议，后续债权人表决通过了</w:t>
      </w:r>
      <w:r>
        <w:rPr>
          <w:rFonts w:hint="eastAsia" w:ascii="Times New Roman" w:hAnsi="Times New Roman" w:eastAsia="宋体"/>
          <w:b w:val="0"/>
          <w:spacing w:val="-4"/>
          <w:lang w:eastAsia="zh-CN"/>
        </w:rPr>
        <w:t>《重整计划</w:t>
      </w:r>
      <w:r>
        <w:rPr>
          <w:rFonts w:hint="eastAsia" w:ascii="Times New Roman" w:hAnsi="Times New Roman"/>
          <w:b w:val="0"/>
          <w:spacing w:val="-4"/>
          <w:lang w:eastAsia="zh-CN"/>
        </w:rPr>
        <w:t>（</w:t>
      </w:r>
      <w:r>
        <w:rPr>
          <w:rFonts w:hint="eastAsia" w:ascii="Times New Roman" w:hAnsi="Times New Roman" w:eastAsia="宋体"/>
          <w:b w:val="0"/>
          <w:spacing w:val="-4"/>
          <w:lang w:eastAsia="zh-CN"/>
        </w:rPr>
        <w:t>草案</w:t>
      </w:r>
      <w:r>
        <w:rPr>
          <w:rFonts w:hint="eastAsia" w:ascii="Times New Roman" w:hAnsi="Times New Roman"/>
          <w:b w:val="0"/>
          <w:spacing w:val="-4"/>
          <w:lang w:eastAsia="zh-CN"/>
        </w:rPr>
        <w:t>）</w:t>
      </w:r>
      <w:r>
        <w:rPr>
          <w:rFonts w:hint="eastAsia" w:ascii="Times New Roman" w:hAnsi="Times New Roman" w:eastAsia="宋体"/>
          <w:b w:val="0"/>
          <w:spacing w:val="-4"/>
          <w:lang w:eastAsia="zh-CN"/>
        </w:rPr>
        <w:t>》</w:t>
      </w:r>
      <w:r>
        <w:rPr>
          <w:rFonts w:hint="eastAsia" w:ascii="Times New Roman" w:hAnsi="Times New Roman"/>
          <w:b w:val="0"/>
          <w:spacing w:val="-4"/>
          <w:lang w:eastAsia="zh-CN"/>
        </w:rPr>
        <w:t>（</w:t>
      </w:r>
      <w:r>
        <w:rPr>
          <w:rFonts w:hint="eastAsia" w:ascii="Times New Roman" w:hAnsi="Times New Roman" w:eastAsia="宋体"/>
          <w:b w:val="0"/>
          <w:spacing w:val="-4"/>
          <w:lang w:eastAsia="zh-CN"/>
        </w:rPr>
        <w:t>公告编号：2024-132）。</w:t>
      </w:r>
    </w:p>
    <w:p w14:paraId="5BFF56D8">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left="0" w:right="0" w:firstLine="464" w:firstLineChars="200"/>
        <w:jc w:val="both"/>
        <w:textAlignment w:val="baseline"/>
        <w:rPr>
          <w:rFonts w:hint="eastAsia" w:ascii="Times New Roman" w:hAnsi="Times New Roman" w:eastAsia="宋体"/>
          <w:b w:val="0"/>
          <w:spacing w:val="-4"/>
          <w:lang w:eastAsia="zh-CN"/>
        </w:rPr>
      </w:pPr>
      <w:r>
        <w:rPr>
          <w:rFonts w:hint="eastAsia" w:ascii="Times New Roman" w:hAnsi="Times New Roman" w:eastAsia="宋体"/>
          <w:b w:val="0"/>
          <w:spacing w:val="-4"/>
          <w:lang w:eastAsia="zh-CN"/>
        </w:rPr>
        <w:t>2024年12月11日，公司收到苏州中院送达的（2024）苏05破50号之二《民事裁定书》，法院裁定批准《江苏中利集团股份有限公司重整计划》，并终止公司重整程序。根据重整计划，以公司总股本871,787,068股为基数，按照每10股转增24.50股的比例实施资本公积金转增股本，共计转增2,135,878,317股股票。转增完成后，公司总股本变更为3,007,665,385股。</w:t>
      </w:r>
    </w:p>
    <w:p w14:paraId="101D2FA6">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left="0" w:right="0" w:firstLine="464" w:firstLineChars="200"/>
        <w:jc w:val="both"/>
        <w:textAlignment w:val="baseline"/>
        <w:rPr>
          <w:rFonts w:hint="eastAsia" w:ascii="Times New Roman" w:hAnsi="Times New Roman" w:eastAsia="宋体"/>
          <w:b w:val="0"/>
          <w:spacing w:val="-4"/>
          <w:lang w:eastAsia="zh-CN"/>
        </w:rPr>
      </w:pPr>
      <w:r>
        <w:rPr>
          <w:rFonts w:hint="eastAsia" w:ascii="Times New Roman" w:hAnsi="Times New Roman" w:eastAsia="宋体"/>
          <w:b w:val="0"/>
          <w:spacing w:val="-4"/>
          <w:lang w:eastAsia="zh-CN"/>
        </w:rPr>
        <w:t>2024年12月27日，公司收到苏州中院送达的（2024）苏05破50号之四《民事裁定书》，苏州中院裁定公司重整计划执行完毕，终结公司重整程序。</w:t>
      </w:r>
    </w:p>
    <w:p w14:paraId="1751888F">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left="0" w:right="0" w:firstLine="464" w:firstLineChars="200"/>
        <w:jc w:val="both"/>
        <w:textAlignment w:val="baseline"/>
        <w:rPr>
          <w:rFonts w:hint="eastAsia" w:ascii="Times New Roman" w:hAnsi="Times New Roman" w:eastAsia="宋体"/>
          <w:b w:val="0"/>
          <w:spacing w:val="-4"/>
          <w:lang w:eastAsia="zh-CN"/>
        </w:rPr>
      </w:pPr>
      <w:r>
        <w:rPr>
          <w:rFonts w:hint="eastAsia" w:ascii="Times New Roman" w:hAnsi="Times New Roman" w:eastAsia="宋体"/>
          <w:b w:val="0"/>
          <w:spacing w:val="-4"/>
          <w:lang w:eastAsia="zh-CN"/>
        </w:rPr>
        <w:t>2024年12月30日，公司部分转增的股票完成过户（公告编号：2024-144）。</w:t>
      </w:r>
    </w:p>
    <w:p w14:paraId="538C2213">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left="0" w:right="0" w:firstLine="464" w:firstLineChars="200"/>
        <w:jc w:val="both"/>
        <w:textAlignment w:val="baseline"/>
        <w:rPr>
          <w:rFonts w:hint="eastAsia" w:ascii="Times New Roman" w:hAnsi="Times New Roman" w:eastAsia="宋体"/>
          <w:b w:val="0"/>
          <w:spacing w:val="-4"/>
          <w:lang w:eastAsia="zh-CN"/>
        </w:rPr>
      </w:pPr>
      <w:r>
        <w:rPr>
          <w:rFonts w:hint="eastAsia" w:ascii="Times New Roman" w:hAnsi="Times New Roman" w:eastAsia="宋体"/>
          <w:b w:val="0"/>
          <w:spacing w:val="-4"/>
          <w:lang w:eastAsia="zh-CN"/>
        </w:rPr>
        <w:t>财务投资人限售期即将届满，根据《深圳证券交易所上市公司自律监管指引第14号——破产重整等事项》规定，该部分股票将于202</w:t>
      </w:r>
      <w:r>
        <w:rPr>
          <w:rFonts w:hint="eastAsia" w:ascii="Times New Roman" w:hAnsi="Times New Roman" w:eastAsia="宋体"/>
          <w:b w:val="0"/>
          <w:spacing w:val="-4"/>
          <w:lang w:val="en-US" w:eastAsia="zh-CN"/>
        </w:rPr>
        <w:t>6</w:t>
      </w:r>
      <w:r>
        <w:rPr>
          <w:rFonts w:hint="eastAsia" w:ascii="Times New Roman" w:hAnsi="Times New Roman" w:eastAsia="宋体"/>
          <w:b w:val="0"/>
          <w:spacing w:val="-4"/>
          <w:lang w:eastAsia="zh-CN"/>
        </w:rPr>
        <w:t>年</w:t>
      </w:r>
      <w:r>
        <w:rPr>
          <w:rFonts w:hint="eastAsia" w:ascii="Times New Roman" w:hAnsi="Times New Roman" w:eastAsia="宋体"/>
          <w:b w:val="0"/>
          <w:spacing w:val="-4"/>
          <w:lang w:val="en-US" w:eastAsia="zh-CN"/>
        </w:rPr>
        <w:t>1</w:t>
      </w:r>
      <w:r>
        <w:rPr>
          <w:rFonts w:hint="eastAsia" w:ascii="Times New Roman" w:hAnsi="Times New Roman" w:eastAsia="宋体"/>
          <w:b w:val="0"/>
          <w:spacing w:val="-4"/>
          <w:lang w:eastAsia="zh-CN"/>
        </w:rPr>
        <w:t>月</w:t>
      </w:r>
      <w:r>
        <w:rPr>
          <w:rFonts w:hint="eastAsia" w:ascii="Times New Roman" w:hAnsi="Times New Roman" w:eastAsia="宋体"/>
          <w:b w:val="0"/>
          <w:spacing w:val="-4"/>
          <w:lang w:val="en-US" w:eastAsia="zh-CN"/>
        </w:rPr>
        <w:t>8</w:t>
      </w:r>
      <w:r>
        <w:rPr>
          <w:rFonts w:hint="eastAsia" w:ascii="Times New Roman" w:hAnsi="Times New Roman" w:eastAsia="宋体"/>
          <w:b w:val="0"/>
          <w:spacing w:val="-4"/>
          <w:lang w:eastAsia="zh-CN"/>
        </w:rPr>
        <w:t>日起上市流通。</w:t>
      </w:r>
    </w:p>
    <w:p w14:paraId="319D9CEB">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0" w:leftChars="0" w:firstLine="470" w:firstLineChars="200"/>
        <w:textAlignment w:val="baseline"/>
        <w:rPr>
          <w:b/>
          <w:bCs/>
          <w:spacing w:val="-3"/>
        </w:rPr>
      </w:pPr>
      <w:r>
        <w:rPr>
          <w:rFonts w:hint="eastAsia" w:ascii="宋体" w:hAnsi="宋体" w:eastAsia="宋体" w:cs="宋体"/>
          <w:b/>
          <w:bCs/>
          <w:snapToGrid w:val="0"/>
          <w:color w:val="000000"/>
          <w:spacing w:val="-3"/>
          <w:kern w:val="0"/>
          <w:sz w:val="24"/>
          <w:szCs w:val="24"/>
          <w:lang w:val="en-US" w:eastAsia="en-US" w:bidi="ar-SA"/>
        </w:rPr>
        <w:t>二、</w:t>
      </w:r>
      <w:r>
        <w:rPr>
          <w:b/>
          <w:bCs/>
          <w:spacing w:val="-3"/>
        </w:rPr>
        <w:t>股份登记及锁定期情况</w:t>
      </w:r>
    </w:p>
    <w:p w14:paraId="69828328">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firstLine="476" w:firstLineChars="200"/>
        <w:jc w:val="both"/>
        <w:textAlignment w:val="baseline"/>
        <w:rPr>
          <w:rFonts w:hint="eastAsia" w:ascii="Times New Roman" w:hAnsi="Times New Roman" w:eastAsia="宋体"/>
          <w:b w:val="0"/>
          <w:spacing w:val="-2"/>
          <w:highlight w:val="none"/>
          <w:lang w:eastAsia="zh-CN"/>
        </w:rPr>
      </w:pPr>
      <w:r>
        <w:rPr>
          <w:rFonts w:ascii="Times New Roman" w:hAnsi="Times New Roman" w:eastAsia="宋体" w:cs="Times New Roman"/>
          <w:b w:val="0"/>
          <w:spacing w:val="-1"/>
          <w:highlight w:val="none"/>
        </w:rPr>
        <w:t>2024</w:t>
      </w:r>
      <w:r>
        <w:rPr>
          <w:rFonts w:ascii="Times New Roman" w:hAnsi="Times New Roman" w:eastAsia="宋体"/>
          <w:b w:val="0"/>
          <w:spacing w:val="-1"/>
          <w:highlight w:val="none"/>
        </w:rPr>
        <w:t>年</w:t>
      </w:r>
      <w:r>
        <w:rPr>
          <w:rFonts w:ascii="Times New Roman" w:hAnsi="Times New Roman" w:eastAsia="宋体" w:cs="Times New Roman"/>
          <w:b w:val="0"/>
          <w:spacing w:val="-1"/>
          <w:highlight w:val="none"/>
        </w:rPr>
        <w:t>1</w:t>
      </w:r>
      <w:r>
        <w:rPr>
          <w:rFonts w:hint="eastAsia" w:ascii="Times New Roman" w:hAnsi="Times New Roman" w:eastAsia="宋体" w:cs="Times New Roman"/>
          <w:b w:val="0"/>
          <w:spacing w:val="-1"/>
          <w:highlight w:val="none"/>
          <w:lang w:val="en-US" w:eastAsia="zh-CN"/>
        </w:rPr>
        <w:t>2</w:t>
      </w:r>
      <w:r>
        <w:rPr>
          <w:rFonts w:ascii="Times New Roman" w:hAnsi="Times New Roman" w:eastAsia="宋体"/>
          <w:b w:val="0"/>
          <w:spacing w:val="-1"/>
          <w:highlight w:val="none"/>
        </w:rPr>
        <w:t>月</w:t>
      </w:r>
      <w:r>
        <w:rPr>
          <w:rFonts w:hint="eastAsia" w:ascii="Times New Roman" w:hAnsi="Times New Roman"/>
          <w:b w:val="0"/>
          <w:spacing w:val="-1"/>
          <w:highlight w:val="none"/>
          <w:lang w:val="en-US" w:eastAsia="zh-CN"/>
        </w:rPr>
        <w:t>31</w:t>
      </w:r>
      <w:r>
        <w:rPr>
          <w:rFonts w:ascii="Times New Roman" w:hAnsi="Times New Roman" w:eastAsia="宋体"/>
          <w:b w:val="0"/>
          <w:spacing w:val="-1"/>
          <w:highlight w:val="none"/>
        </w:rPr>
        <w:t>日，上市公司披露《</w:t>
      </w:r>
      <w:r>
        <w:rPr>
          <w:rFonts w:hint="eastAsia" w:ascii="Times New Roman" w:hAnsi="Times New Roman" w:eastAsia="宋体"/>
          <w:b w:val="0"/>
          <w:spacing w:val="-1"/>
          <w:highlight w:val="none"/>
        </w:rPr>
        <w:t>关于向全体重整投资人指定证券账户完成股票过户暨控股股东变更生效的公告</w:t>
      </w:r>
      <w:r>
        <w:rPr>
          <w:rFonts w:ascii="Times New Roman" w:hAnsi="Times New Roman" w:eastAsia="宋体"/>
          <w:b w:val="0"/>
          <w:spacing w:val="-7"/>
          <w:highlight w:val="none"/>
        </w:rPr>
        <w:t>》（公告编号：</w:t>
      </w:r>
      <w:r>
        <w:rPr>
          <w:rFonts w:ascii="Times New Roman" w:hAnsi="Times New Roman" w:eastAsia="宋体" w:cs="Times New Roman"/>
          <w:b w:val="0"/>
          <w:spacing w:val="-7"/>
          <w:highlight w:val="none"/>
        </w:rPr>
        <w:t>2024</w:t>
      </w:r>
      <w:r>
        <w:rPr>
          <w:rFonts w:ascii="Times New Roman" w:hAnsi="Times New Roman" w:eastAsia="宋体"/>
          <w:b w:val="0"/>
          <w:spacing w:val="-7"/>
          <w:highlight w:val="none"/>
        </w:rPr>
        <w:t>—</w:t>
      </w:r>
      <w:r>
        <w:rPr>
          <w:rFonts w:ascii="Times New Roman" w:hAnsi="Times New Roman" w:eastAsia="宋体" w:cs="Times New Roman"/>
          <w:b w:val="0"/>
          <w:spacing w:val="-7"/>
          <w:highlight w:val="none"/>
        </w:rPr>
        <w:t>1</w:t>
      </w:r>
      <w:r>
        <w:rPr>
          <w:rFonts w:hint="eastAsia" w:ascii="Times New Roman" w:hAnsi="Times New Roman" w:cs="Times New Roman"/>
          <w:b w:val="0"/>
          <w:spacing w:val="-7"/>
          <w:highlight w:val="none"/>
          <w:lang w:val="en-US" w:eastAsia="zh-CN"/>
        </w:rPr>
        <w:t>44</w:t>
      </w:r>
      <w:r>
        <w:rPr>
          <w:rFonts w:ascii="Times New Roman" w:hAnsi="Times New Roman" w:eastAsia="宋体"/>
          <w:b w:val="0"/>
          <w:spacing w:val="-7"/>
          <w:highlight w:val="none"/>
        </w:rPr>
        <w:t>）</w:t>
      </w:r>
      <w:r>
        <w:rPr>
          <w:rFonts w:hint="eastAsia" w:ascii="Times New Roman" w:hAnsi="Times New Roman"/>
          <w:b w:val="0"/>
          <w:spacing w:val="-7"/>
          <w:highlight w:val="none"/>
          <w:lang w:eastAsia="zh-CN"/>
        </w:rPr>
        <w:t>，</w:t>
      </w:r>
      <w:r>
        <w:rPr>
          <w:rFonts w:hint="eastAsia" w:ascii="Times New Roman" w:hAnsi="Times New Roman"/>
          <w:b w:val="0"/>
          <w:spacing w:val="-7"/>
          <w:highlight w:val="none"/>
          <w:lang w:val="en-US" w:eastAsia="zh-CN"/>
        </w:rPr>
        <w:t>称中利集团</w:t>
      </w:r>
      <w:r>
        <w:rPr>
          <w:rFonts w:hint="eastAsia" w:ascii="Times New Roman" w:hAnsi="Times New Roman" w:eastAsia="宋体"/>
          <w:b w:val="0"/>
          <w:spacing w:val="-7"/>
          <w:highlight w:val="none"/>
        </w:rPr>
        <w:t>收到中国证券登记结算有限责任公司出具的《证券过户登记确认书》，管理人已将</w:t>
      </w:r>
      <w:r>
        <w:rPr>
          <w:rFonts w:hint="eastAsia" w:ascii="Times New Roman" w:hAnsi="Times New Roman"/>
          <w:b w:val="0"/>
          <w:spacing w:val="-7"/>
          <w:highlight w:val="none"/>
          <w:lang w:val="en-US" w:eastAsia="zh-CN"/>
        </w:rPr>
        <w:t>部分</w:t>
      </w:r>
      <w:r>
        <w:rPr>
          <w:rFonts w:hint="eastAsia" w:ascii="Times New Roman" w:hAnsi="Times New Roman" w:eastAsia="宋体"/>
          <w:b w:val="0"/>
          <w:spacing w:val="-7"/>
          <w:highlight w:val="none"/>
        </w:rPr>
        <w:t>转增股票由管理人证券账户（江苏中利集团股份有限公司破产企业财产处置专用账户）过户至全体重整投资人指定证券账户</w:t>
      </w:r>
      <w:r>
        <w:rPr>
          <w:rFonts w:hint="eastAsia" w:ascii="Times New Roman" w:hAnsi="Times New Roman"/>
          <w:b w:val="0"/>
          <w:spacing w:val="-7"/>
          <w:highlight w:val="none"/>
          <w:lang w:eastAsia="zh-CN"/>
        </w:rPr>
        <w:t>。</w:t>
      </w:r>
    </w:p>
    <w:p w14:paraId="0A5485B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firstLine="460" w:firstLineChars="200"/>
        <w:jc w:val="both"/>
        <w:textAlignment w:val="baseline"/>
        <w:rPr>
          <w:rFonts w:ascii="Times New Roman" w:hAnsi="Times New Roman" w:eastAsia="宋体"/>
          <w:b w:val="0"/>
        </w:rPr>
      </w:pPr>
      <w:r>
        <w:rPr>
          <w:rFonts w:ascii="Times New Roman" w:hAnsi="Times New Roman" w:eastAsia="宋体"/>
          <w:b w:val="0"/>
          <w:spacing w:val="-5"/>
        </w:rPr>
        <w:t>根据《深圳证券交易所上市公司自律监管指引第</w:t>
      </w:r>
      <w:r>
        <w:rPr>
          <w:rFonts w:ascii="Times New Roman" w:hAnsi="Times New Roman" w:eastAsia="宋体" w:cs="Times New Roman"/>
          <w:b w:val="0"/>
          <w:spacing w:val="-5"/>
        </w:rPr>
        <w:t>14</w:t>
      </w:r>
      <w:r>
        <w:rPr>
          <w:rFonts w:ascii="Times New Roman" w:hAnsi="Times New Roman" w:eastAsia="宋体"/>
          <w:b w:val="0"/>
          <w:spacing w:val="-5"/>
        </w:rPr>
        <w:t>号——破产重整等事项》</w:t>
      </w:r>
      <w:r>
        <w:rPr>
          <w:rFonts w:ascii="Times New Roman" w:hAnsi="Times New Roman" w:eastAsia="宋体"/>
          <w:b w:val="0"/>
          <w:spacing w:val="-3"/>
        </w:rPr>
        <w:t>的规定及中国证券登记结算有限公司出具的《证券过户登记确认书》，</w:t>
      </w:r>
      <w:r>
        <w:rPr>
          <w:rFonts w:ascii="Times New Roman" w:hAnsi="Times New Roman" w:eastAsia="宋体"/>
          <w:b w:val="0"/>
          <w:spacing w:val="-4"/>
        </w:rPr>
        <w:t>重整投资</w:t>
      </w:r>
      <w:r>
        <w:rPr>
          <w:rFonts w:ascii="Times New Roman" w:hAnsi="Times New Roman" w:eastAsia="宋体"/>
          <w:b w:val="0"/>
          <w:spacing w:val="-2"/>
        </w:rPr>
        <w:t>人受让股份情况如下：</w:t>
      </w:r>
    </w:p>
    <w:tbl>
      <w:tblPr>
        <w:tblStyle w:val="8"/>
        <w:tblW w:w="4998"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Layout w:type="autofit"/>
        <w:tblCellMar>
          <w:top w:w="0" w:type="dxa"/>
          <w:left w:w="108" w:type="dxa"/>
          <w:bottom w:w="0" w:type="dxa"/>
          <w:right w:w="108" w:type="dxa"/>
        </w:tblCellMar>
      </w:tblPr>
      <w:tblGrid>
        <w:gridCol w:w="491"/>
        <w:gridCol w:w="3640"/>
        <w:gridCol w:w="1472"/>
        <w:gridCol w:w="1461"/>
        <w:gridCol w:w="1461"/>
      </w:tblGrid>
      <w:tr w14:paraId="405E3248">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tblHeader/>
          <w:jc w:val="center"/>
        </w:trPr>
        <w:tc>
          <w:tcPr>
            <w:tcW w:w="237" w:type="pct"/>
            <w:shd w:val="clear" w:color="auto" w:fill="auto"/>
            <w:textDirection w:val="tbRlV"/>
            <w:vAlign w:val="center"/>
          </w:tcPr>
          <w:p w14:paraId="0C0A2A86">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rPr>
            </w:pPr>
            <w:r>
              <w:rPr>
                <w:rFonts w:ascii="Times New Roman" w:hAnsi="Times New Roman" w:eastAsia="宋体"/>
                <w:b/>
                <w:color w:val="000000"/>
                <w:sz w:val="21"/>
              </w:rPr>
              <w:t>序号</w:t>
            </w:r>
          </w:p>
        </w:tc>
        <w:tc>
          <w:tcPr>
            <w:tcW w:w="2147" w:type="pct"/>
            <w:shd w:val="clear" w:color="auto" w:fill="auto"/>
            <w:vAlign w:val="center"/>
          </w:tcPr>
          <w:p w14:paraId="66493E9D">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rPr>
            </w:pPr>
            <w:r>
              <w:rPr>
                <w:rFonts w:ascii="Times New Roman" w:hAnsi="Times New Roman" w:eastAsia="宋体"/>
                <w:b/>
                <w:color w:val="000000"/>
                <w:sz w:val="21"/>
              </w:rPr>
              <w:t>股东名称</w:t>
            </w:r>
          </w:p>
        </w:tc>
        <w:tc>
          <w:tcPr>
            <w:tcW w:w="876" w:type="pct"/>
            <w:shd w:val="clear" w:color="auto" w:fill="auto"/>
            <w:vAlign w:val="center"/>
          </w:tcPr>
          <w:p w14:paraId="561C3579">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rPr>
            </w:pPr>
            <w:r>
              <w:rPr>
                <w:rFonts w:ascii="Times New Roman" w:hAnsi="Times New Roman" w:eastAsia="宋体"/>
                <w:b/>
                <w:color w:val="000000"/>
                <w:sz w:val="21"/>
              </w:rPr>
              <w:t>取得股份数量（股）</w:t>
            </w:r>
          </w:p>
        </w:tc>
        <w:tc>
          <w:tcPr>
            <w:tcW w:w="869" w:type="pct"/>
            <w:shd w:val="clear" w:color="auto" w:fill="auto"/>
            <w:vAlign w:val="center"/>
          </w:tcPr>
          <w:p w14:paraId="76196AD1">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rPr>
            </w:pPr>
            <w:r>
              <w:rPr>
                <w:rFonts w:ascii="Times New Roman" w:hAnsi="Times New Roman" w:eastAsia="宋体"/>
                <w:b/>
                <w:color w:val="000000"/>
                <w:sz w:val="21"/>
              </w:rPr>
              <w:t>占公司转增后总股本比例</w:t>
            </w:r>
          </w:p>
        </w:tc>
        <w:tc>
          <w:tcPr>
            <w:tcW w:w="869" w:type="pct"/>
            <w:shd w:val="clear" w:color="auto" w:fill="auto"/>
            <w:vAlign w:val="center"/>
          </w:tcPr>
          <w:p w14:paraId="2C264357">
            <w:pPr>
              <w:keepNext/>
              <w:bidi w:val="0"/>
              <w:spacing w:beforeAutospacing="0" w:afterAutospacing="0" w:line="240" w:lineRule="auto"/>
              <w:ind w:left="0" w:leftChars="0" w:right="0" w:rightChars="0" w:firstLine="0" w:firstLineChars="0"/>
              <w:jc w:val="center"/>
              <w:rPr>
                <w:rFonts w:hint="default" w:ascii="Times New Roman" w:hAnsi="Times New Roman" w:eastAsia="宋体"/>
                <w:b/>
                <w:color w:val="000000"/>
                <w:sz w:val="21"/>
                <w:lang w:val="en-US" w:eastAsia="zh-CN"/>
              </w:rPr>
            </w:pPr>
            <w:r>
              <w:rPr>
                <w:rFonts w:hint="eastAsia" w:ascii="Times New Roman" w:hAnsi="Times New Roman" w:eastAsia="宋体"/>
                <w:b/>
                <w:color w:val="000000"/>
                <w:sz w:val="21"/>
                <w:lang w:val="en-US" w:eastAsia="zh-CN"/>
              </w:rPr>
              <w:t>股份性质</w:t>
            </w:r>
          </w:p>
        </w:tc>
      </w:tr>
      <w:tr w14:paraId="2738F73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1195EC72">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1</w:t>
            </w:r>
          </w:p>
        </w:tc>
        <w:tc>
          <w:tcPr>
            <w:tcW w:w="2147" w:type="pct"/>
            <w:shd w:val="clear" w:color="auto" w:fill="auto"/>
            <w:vAlign w:val="center"/>
          </w:tcPr>
          <w:p w14:paraId="197D05D1">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杜月姣</w:t>
            </w:r>
          </w:p>
        </w:tc>
        <w:tc>
          <w:tcPr>
            <w:tcW w:w="876" w:type="pct"/>
            <w:shd w:val="clear" w:color="auto" w:fill="auto"/>
            <w:vAlign w:val="center"/>
          </w:tcPr>
          <w:p w14:paraId="17977D8E">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150,000,000</w:t>
            </w:r>
          </w:p>
        </w:tc>
        <w:tc>
          <w:tcPr>
            <w:tcW w:w="869" w:type="pct"/>
            <w:shd w:val="clear" w:color="auto" w:fill="auto"/>
            <w:vAlign w:val="center"/>
          </w:tcPr>
          <w:p w14:paraId="1639D995">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4.99%</w:t>
            </w:r>
          </w:p>
        </w:tc>
        <w:tc>
          <w:tcPr>
            <w:tcW w:w="869" w:type="pct"/>
            <w:shd w:val="clear" w:color="auto" w:fill="auto"/>
            <w:vAlign w:val="center"/>
          </w:tcPr>
          <w:p w14:paraId="598AA9C6">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7F6B70ED">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417AED58">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bookmarkStart w:id="1" w:name="_GoBack" w:colFirst="4" w:colLast="4"/>
            <w:r>
              <w:rPr>
                <w:rFonts w:ascii="Times New Roman" w:hAnsi="Times New Roman" w:eastAsia="宋体"/>
                <w:b w:val="0"/>
                <w:color w:val="000000"/>
                <w:sz w:val="21"/>
              </w:rPr>
              <w:t>2</w:t>
            </w:r>
          </w:p>
        </w:tc>
        <w:tc>
          <w:tcPr>
            <w:tcW w:w="2147" w:type="pct"/>
            <w:shd w:val="clear" w:color="auto" w:fill="auto"/>
            <w:vAlign w:val="center"/>
          </w:tcPr>
          <w:p w14:paraId="17E77FC6">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刘青科</w:t>
            </w:r>
          </w:p>
        </w:tc>
        <w:tc>
          <w:tcPr>
            <w:tcW w:w="876" w:type="pct"/>
            <w:shd w:val="clear" w:color="auto" w:fill="auto"/>
            <w:vAlign w:val="center"/>
          </w:tcPr>
          <w:p w14:paraId="34F0171B">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88,014,147</w:t>
            </w:r>
          </w:p>
        </w:tc>
        <w:tc>
          <w:tcPr>
            <w:tcW w:w="869" w:type="pct"/>
            <w:shd w:val="clear" w:color="auto" w:fill="auto"/>
            <w:vAlign w:val="center"/>
          </w:tcPr>
          <w:p w14:paraId="625ADC48">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2.93%</w:t>
            </w:r>
          </w:p>
        </w:tc>
        <w:tc>
          <w:tcPr>
            <w:tcW w:w="869" w:type="pct"/>
            <w:shd w:val="clear" w:color="auto" w:fill="auto"/>
            <w:vAlign w:val="center"/>
          </w:tcPr>
          <w:p w14:paraId="2755C911">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4D05683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6528164E">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3</w:t>
            </w:r>
          </w:p>
        </w:tc>
        <w:tc>
          <w:tcPr>
            <w:tcW w:w="2147" w:type="pct"/>
            <w:shd w:val="clear" w:color="auto" w:fill="auto"/>
            <w:vAlign w:val="center"/>
          </w:tcPr>
          <w:p w14:paraId="142C20E6">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中国东方国际资产管理有限公司－中国东方收益增强基金</w:t>
            </w:r>
          </w:p>
        </w:tc>
        <w:tc>
          <w:tcPr>
            <w:tcW w:w="876" w:type="pct"/>
            <w:shd w:val="clear" w:color="auto" w:fill="auto"/>
            <w:vAlign w:val="center"/>
          </w:tcPr>
          <w:p w14:paraId="3A5C114F">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85,280,657</w:t>
            </w:r>
          </w:p>
        </w:tc>
        <w:tc>
          <w:tcPr>
            <w:tcW w:w="869" w:type="pct"/>
            <w:shd w:val="clear" w:color="auto" w:fill="auto"/>
            <w:vAlign w:val="center"/>
          </w:tcPr>
          <w:p w14:paraId="4B7B9CD4">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2.84%</w:t>
            </w:r>
          </w:p>
        </w:tc>
        <w:tc>
          <w:tcPr>
            <w:tcW w:w="869" w:type="pct"/>
            <w:shd w:val="clear" w:color="auto" w:fill="auto"/>
            <w:vAlign w:val="center"/>
          </w:tcPr>
          <w:p w14:paraId="331BF040">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2F460FC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3519A088">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4</w:t>
            </w:r>
          </w:p>
        </w:tc>
        <w:tc>
          <w:tcPr>
            <w:tcW w:w="2147" w:type="pct"/>
            <w:shd w:val="clear" w:color="auto" w:fill="auto"/>
            <w:vAlign w:val="center"/>
          </w:tcPr>
          <w:p w14:paraId="1641C363">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中国东方国际资产管理有限公司－稳健收益基金1号</w:t>
            </w:r>
          </w:p>
        </w:tc>
        <w:tc>
          <w:tcPr>
            <w:tcW w:w="876" w:type="pct"/>
            <w:shd w:val="clear" w:color="auto" w:fill="auto"/>
            <w:vAlign w:val="center"/>
          </w:tcPr>
          <w:p w14:paraId="03B16719">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60,847,675</w:t>
            </w:r>
          </w:p>
        </w:tc>
        <w:tc>
          <w:tcPr>
            <w:tcW w:w="869" w:type="pct"/>
            <w:shd w:val="clear" w:color="auto" w:fill="auto"/>
            <w:vAlign w:val="center"/>
          </w:tcPr>
          <w:p w14:paraId="58558596">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2.02%</w:t>
            </w:r>
          </w:p>
        </w:tc>
        <w:tc>
          <w:tcPr>
            <w:tcW w:w="869" w:type="pct"/>
            <w:shd w:val="clear" w:color="auto" w:fill="auto"/>
            <w:vAlign w:val="center"/>
          </w:tcPr>
          <w:p w14:paraId="0CDDDF8E">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6B4CB367">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337FDC1C">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5</w:t>
            </w:r>
          </w:p>
        </w:tc>
        <w:tc>
          <w:tcPr>
            <w:tcW w:w="2147" w:type="pct"/>
            <w:shd w:val="clear" w:color="auto" w:fill="auto"/>
            <w:vAlign w:val="center"/>
          </w:tcPr>
          <w:p w14:paraId="61BDCC83">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阎蕊</w:t>
            </w:r>
          </w:p>
        </w:tc>
        <w:tc>
          <w:tcPr>
            <w:tcW w:w="876" w:type="pct"/>
            <w:shd w:val="clear" w:color="auto" w:fill="auto"/>
            <w:vAlign w:val="center"/>
          </w:tcPr>
          <w:p w14:paraId="64A47108">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58,676,098</w:t>
            </w:r>
          </w:p>
        </w:tc>
        <w:tc>
          <w:tcPr>
            <w:tcW w:w="869" w:type="pct"/>
            <w:shd w:val="clear" w:color="auto" w:fill="auto"/>
            <w:vAlign w:val="center"/>
          </w:tcPr>
          <w:p w14:paraId="56701F20">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1.95%</w:t>
            </w:r>
          </w:p>
        </w:tc>
        <w:tc>
          <w:tcPr>
            <w:tcW w:w="869" w:type="pct"/>
            <w:shd w:val="clear" w:color="auto" w:fill="auto"/>
            <w:vAlign w:val="center"/>
          </w:tcPr>
          <w:p w14:paraId="754AF119">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3084D59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6445304E">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6</w:t>
            </w:r>
          </w:p>
        </w:tc>
        <w:tc>
          <w:tcPr>
            <w:tcW w:w="2147" w:type="pct"/>
            <w:shd w:val="clear" w:color="auto" w:fill="auto"/>
            <w:vAlign w:val="center"/>
          </w:tcPr>
          <w:p w14:paraId="4E07BA02">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金丽春</w:t>
            </w:r>
          </w:p>
        </w:tc>
        <w:tc>
          <w:tcPr>
            <w:tcW w:w="876" w:type="pct"/>
            <w:shd w:val="clear" w:color="auto" w:fill="auto"/>
            <w:vAlign w:val="center"/>
          </w:tcPr>
          <w:p w14:paraId="1CF0B4CB">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46,940,879</w:t>
            </w:r>
          </w:p>
        </w:tc>
        <w:tc>
          <w:tcPr>
            <w:tcW w:w="869" w:type="pct"/>
            <w:shd w:val="clear" w:color="auto" w:fill="auto"/>
            <w:vAlign w:val="center"/>
          </w:tcPr>
          <w:p w14:paraId="640F6575">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1.56%</w:t>
            </w:r>
          </w:p>
        </w:tc>
        <w:tc>
          <w:tcPr>
            <w:tcW w:w="869" w:type="pct"/>
            <w:shd w:val="clear" w:color="auto" w:fill="auto"/>
            <w:vAlign w:val="center"/>
          </w:tcPr>
          <w:p w14:paraId="490DBC9C">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38D4430B">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2BA5651F">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7</w:t>
            </w:r>
          </w:p>
        </w:tc>
        <w:tc>
          <w:tcPr>
            <w:tcW w:w="2147" w:type="pct"/>
            <w:shd w:val="clear" w:color="auto" w:fill="auto"/>
            <w:vAlign w:val="center"/>
          </w:tcPr>
          <w:p w14:paraId="5D8CC3CA">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王浚</w:t>
            </w:r>
          </w:p>
        </w:tc>
        <w:tc>
          <w:tcPr>
            <w:tcW w:w="876" w:type="pct"/>
            <w:shd w:val="clear" w:color="auto" w:fill="auto"/>
            <w:vAlign w:val="center"/>
          </w:tcPr>
          <w:p w14:paraId="2DBBA85F">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29,338,049</w:t>
            </w:r>
          </w:p>
        </w:tc>
        <w:tc>
          <w:tcPr>
            <w:tcW w:w="869" w:type="pct"/>
            <w:shd w:val="clear" w:color="auto" w:fill="auto"/>
            <w:vAlign w:val="center"/>
          </w:tcPr>
          <w:p w14:paraId="6F9A3CAF">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0.98%</w:t>
            </w:r>
          </w:p>
        </w:tc>
        <w:tc>
          <w:tcPr>
            <w:tcW w:w="869" w:type="pct"/>
            <w:shd w:val="clear" w:color="auto" w:fill="auto"/>
            <w:vAlign w:val="center"/>
          </w:tcPr>
          <w:p w14:paraId="0D0F2D57">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62467AF9">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4619E0F6">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8</w:t>
            </w:r>
          </w:p>
        </w:tc>
        <w:tc>
          <w:tcPr>
            <w:tcW w:w="2147" w:type="pct"/>
            <w:shd w:val="clear" w:color="auto" w:fill="auto"/>
            <w:vAlign w:val="center"/>
          </w:tcPr>
          <w:p w14:paraId="0F0D0347">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深圳市招平三号投资中心（有限合伙）</w:t>
            </w:r>
          </w:p>
        </w:tc>
        <w:tc>
          <w:tcPr>
            <w:tcW w:w="876" w:type="pct"/>
            <w:shd w:val="clear" w:color="auto" w:fill="auto"/>
            <w:vAlign w:val="center"/>
          </w:tcPr>
          <w:p w14:paraId="757B4B60">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75,092,013</w:t>
            </w:r>
          </w:p>
        </w:tc>
        <w:tc>
          <w:tcPr>
            <w:tcW w:w="869" w:type="pct"/>
            <w:shd w:val="clear" w:color="auto" w:fill="auto"/>
            <w:vAlign w:val="center"/>
          </w:tcPr>
          <w:p w14:paraId="6BA94549">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2.50%</w:t>
            </w:r>
          </w:p>
        </w:tc>
        <w:tc>
          <w:tcPr>
            <w:tcW w:w="869" w:type="pct"/>
            <w:shd w:val="clear" w:color="auto" w:fill="auto"/>
            <w:vAlign w:val="center"/>
          </w:tcPr>
          <w:p w14:paraId="73A035C6">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78F34858">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77CC0BE2">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9</w:t>
            </w:r>
          </w:p>
        </w:tc>
        <w:tc>
          <w:tcPr>
            <w:tcW w:w="2147" w:type="pct"/>
            <w:shd w:val="clear" w:color="auto" w:fill="auto"/>
            <w:vAlign w:val="center"/>
          </w:tcPr>
          <w:p w14:paraId="01972C77">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农银企航（苏州）私募基金管理有限公司</w:t>
            </w:r>
          </w:p>
        </w:tc>
        <w:tc>
          <w:tcPr>
            <w:tcW w:w="876" w:type="pct"/>
            <w:shd w:val="clear" w:color="auto" w:fill="auto"/>
            <w:vAlign w:val="center"/>
          </w:tcPr>
          <w:p w14:paraId="73BB36EA">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60,000,000</w:t>
            </w:r>
          </w:p>
        </w:tc>
        <w:tc>
          <w:tcPr>
            <w:tcW w:w="869" w:type="pct"/>
            <w:shd w:val="clear" w:color="auto" w:fill="auto"/>
            <w:vAlign w:val="center"/>
          </w:tcPr>
          <w:p w14:paraId="776D7F37">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1.99%</w:t>
            </w:r>
          </w:p>
        </w:tc>
        <w:tc>
          <w:tcPr>
            <w:tcW w:w="869" w:type="pct"/>
            <w:shd w:val="clear" w:color="auto" w:fill="auto"/>
            <w:vAlign w:val="center"/>
          </w:tcPr>
          <w:p w14:paraId="450E7B6D">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0EF7637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78E6C5D9">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ascii="Times New Roman" w:hAnsi="Times New Roman" w:eastAsia="宋体"/>
                <w:b w:val="0"/>
                <w:color w:val="000000"/>
                <w:sz w:val="21"/>
              </w:rPr>
              <w:t>10</w:t>
            </w:r>
          </w:p>
        </w:tc>
        <w:tc>
          <w:tcPr>
            <w:tcW w:w="2147" w:type="pct"/>
            <w:shd w:val="clear" w:color="auto" w:fill="auto"/>
            <w:vAlign w:val="center"/>
          </w:tcPr>
          <w:p w14:paraId="7529945C">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深圳健恩私募证券基金管理有限公司－健恩饮水思源稳健1号私募证券投资基金</w:t>
            </w:r>
          </w:p>
        </w:tc>
        <w:tc>
          <w:tcPr>
            <w:tcW w:w="876" w:type="pct"/>
            <w:shd w:val="clear" w:color="auto" w:fill="auto"/>
            <w:vAlign w:val="center"/>
          </w:tcPr>
          <w:p w14:paraId="6E4F8E0D">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40,919,798</w:t>
            </w:r>
          </w:p>
        </w:tc>
        <w:tc>
          <w:tcPr>
            <w:tcW w:w="869" w:type="pct"/>
            <w:shd w:val="clear" w:color="auto" w:fill="auto"/>
            <w:vAlign w:val="center"/>
          </w:tcPr>
          <w:p w14:paraId="1348F926">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1.36%</w:t>
            </w:r>
          </w:p>
        </w:tc>
        <w:tc>
          <w:tcPr>
            <w:tcW w:w="869" w:type="pct"/>
            <w:shd w:val="clear" w:color="auto" w:fill="auto"/>
            <w:vAlign w:val="center"/>
          </w:tcPr>
          <w:p w14:paraId="1699C9F6">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207EE000">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07B844D7">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11</w:t>
            </w:r>
          </w:p>
        </w:tc>
        <w:tc>
          <w:tcPr>
            <w:tcW w:w="2147" w:type="pct"/>
            <w:shd w:val="clear" w:color="auto" w:fill="auto"/>
            <w:vAlign w:val="center"/>
          </w:tcPr>
          <w:p w14:paraId="740F0E4B">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苏州宏新股权投资合伙企业（有限合伙）</w:t>
            </w:r>
          </w:p>
        </w:tc>
        <w:tc>
          <w:tcPr>
            <w:tcW w:w="876" w:type="pct"/>
            <w:shd w:val="clear" w:color="auto" w:fill="auto"/>
            <w:vAlign w:val="center"/>
          </w:tcPr>
          <w:p w14:paraId="5A89F1C4">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29,338,049</w:t>
            </w:r>
          </w:p>
        </w:tc>
        <w:tc>
          <w:tcPr>
            <w:tcW w:w="869" w:type="pct"/>
            <w:shd w:val="clear" w:color="auto" w:fill="auto"/>
            <w:vAlign w:val="center"/>
          </w:tcPr>
          <w:p w14:paraId="52858FB0">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0.98%</w:t>
            </w:r>
          </w:p>
        </w:tc>
        <w:tc>
          <w:tcPr>
            <w:tcW w:w="869" w:type="pct"/>
            <w:shd w:val="clear" w:color="auto" w:fill="auto"/>
            <w:vAlign w:val="center"/>
          </w:tcPr>
          <w:p w14:paraId="335BD3C1">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7E62A169">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0CFCFE8C">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12</w:t>
            </w:r>
          </w:p>
        </w:tc>
        <w:tc>
          <w:tcPr>
            <w:tcW w:w="2147" w:type="pct"/>
            <w:shd w:val="clear" w:color="auto" w:fill="auto"/>
            <w:vAlign w:val="center"/>
          </w:tcPr>
          <w:p w14:paraId="3DC910CC">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深圳信发二号企业管理中心（有限合伙）</w:t>
            </w:r>
          </w:p>
        </w:tc>
        <w:tc>
          <w:tcPr>
            <w:tcW w:w="876" w:type="pct"/>
            <w:shd w:val="clear" w:color="auto" w:fill="auto"/>
            <w:vAlign w:val="center"/>
          </w:tcPr>
          <w:p w14:paraId="7B496A1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29,338,049</w:t>
            </w:r>
          </w:p>
        </w:tc>
        <w:tc>
          <w:tcPr>
            <w:tcW w:w="869" w:type="pct"/>
            <w:shd w:val="clear" w:color="auto" w:fill="auto"/>
            <w:vAlign w:val="center"/>
          </w:tcPr>
          <w:p w14:paraId="34756293">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0.98%</w:t>
            </w:r>
          </w:p>
        </w:tc>
        <w:tc>
          <w:tcPr>
            <w:tcW w:w="869" w:type="pct"/>
            <w:shd w:val="clear" w:color="auto" w:fill="auto"/>
            <w:vAlign w:val="center"/>
          </w:tcPr>
          <w:p w14:paraId="442FB562">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093DF930">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90" w:hRule="atLeast"/>
          <w:jc w:val="center"/>
        </w:trPr>
        <w:tc>
          <w:tcPr>
            <w:tcW w:w="237" w:type="pct"/>
            <w:shd w:val="clear" w:color="auto" w:fill="auto"/>
            <w:vAlign w:val="center"/>
          </w:tcPr>
          <w:p w14:paraId="6CA64DEB">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13</w:t>
            </w:r>
          </w:p>
        </w:tc>
        <w:tc>
          <w:tcPr>
            <w:tcW w:w="2147" w:type="pct"/>
            <w:shd w:val="clear" w:color="auto" w:fill="auto"/>
            <w:vAlign w:val="center"/>
          </w:tcPr>
          <w:p w14:paraId="16696AF7">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湖北华楚国科十一号投资合伙企业（有限合伙）</w:t>
            </w:r>
          </w:p>
        </w:tc>
        <w:tc>
          <w:tcPr>
            <w:tcW w:w="876" w:type="pct"/>
            <w:shd w:val="clear" w:color="auto" w:fill="auto"/>
            <w:vAlign w:val="center"/>
          </w:tcPr>
          <w:p w14:paraId="72A3D06D">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70,411,318</w:t>
            </w:r>
          </w:p>
        </w:tc>
        <w:tc>
          <w:tcPr>
            <w:tcW w:w="869" w:type="pct"/>
            <w:shd w:val="clear" w:color="auto" w:fill="auto"/>
            <w:vAlign w:val="center"/>
          </w:tcPr>
          <w:p w14:paraId="6D279020">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2.34%</w:t>
            </w:r>
          </w:p>
        </w:tc>
        <w:tc>
          <w:tcPr>
            <w:tcW w:w="869" w:type="pct"/>
            <w:shd w:val="clear" w:color="auto" w:fill="auto"/>
            <w:vAlign w:val="center"/>
          </w:tcPr>
          <w:p w14:paraId="158E7B9C">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2D5863B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40A73CC8">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14</w:t>
            </w:r>
          </w:p>
        </w:tc>
        <w:tc>
          <w:tcPr>
            <w:tcW w:w="2147" w:type="pct"/>
            <w:shd w:val="clear" w:color="auto" w:fill="auto"/>
            <w:vAlign w:val="center"/>
          </w:tcPr>
          <w:p w14:paraId="6F000F5A">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北京雅谦春芽科技发展中心（有限合伙）</w:t>
            </w:r>
          </w:p>
        </w:tc>
        <w:tc>
          <w:tcPr>
            <w:tcW w:w="876" w:type="pct"/>
            <w:shd w:val="clear" w:color="auto" w:fill="auto"/>
            <w:vAlign w:val="center"/>
          </w:tcPr>
          <w:p w14:paraId="73754F22">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35,070,799</w:t>
            </w:r>
          </w:p>
        </w:tc>
        <w:tc>
          <w:tcPr>
            <w:tcW w:w="869" w:type="pct"/>
            <w:shd w:val="clear" w:color="auto" w:fill="auto"/>
            <w:vAlign w:val="center"/>
          </w:tcPr>
          <w:p w14:paraId="68EEDAD2">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1.17%</w:t>
            </w:r>
          </w:p>
        </w:tc>
        <w:tc>
          <w:tcPr>
            <w:tcW w:w="869" w:type="pct"/>
            <w:shd w:val="clear" w:color="auto" w:fill="auto"/>
            <w:vAlign w:val="center"/>
          </w:tcPr>
          <w:p w14:paraId="1A670E9B">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2CA59468">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129C5B33">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15</w:t>
            </w:r>
          </w:p>
        </w:tc>
        <w:tc>
          <w:tcPr>
            <w:tcW w:w="2147" w:type="pct"/>
            <w:shd w:val="clear" w:color="auto" w:fill="auto"/>
            <w:vAlign w:val="center"/>
          </w:tcPr>
          <w:p w14:paraId="2FBF1D6A">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北京雅慧春芽科技发展中心（有限合伙）</w:t>
            </w:r>
          </w:p>
        </w:tc>
        <w:tc>
          <w:tcPr>
            <w:tcW w:w="876" w:type="pct"/>
            <w:shd w:val="clear" w:color="auto" w:fill="auto"/>
            <w:vAlign w:val="center"/>
          </w:tcPr>
          <w:p w14:paraId="3DC2890F">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50,656,316</w:t>
            </w:r>
          </w:p>
        </w:tc>
        <w:tc>
          <w:tcPr>
            <w:tcW w:w="869" w:type="pct"/>
            <w:shd w:val="clear" w:color="auto" w:fill="auto"/>
            <w:vAlign w:val="center"/>
          </w:tcPr>
          <w:p w14:paraId="51CD24D8">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1.68%</w:t>
            </w:r>
          </w:p>
        </w:tc>
        <w:tc>
          <w:tcPr>
            <w:tcW w:w="869" w:type="pct"/>
            <w:shd w:val="clear" w:color="auto" w:fill="auto"/>
            <w:vAlign w:val="center"/>
          </w:tcPr>
          <w:p w14:paraId="16406191">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544579F5">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365AAE5B">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16</w:t>
            </w:r>
          </w:p>
        </w:tc>
        <w:tc>
          <w:tcPr>
            <w:tcW w:w="2147" w:type="pct"/>
            <w:shd w:val="clear" w:color="auto" w:fill="auto"/>
            <w:vAlign w:val="center"/>
          </w:tcPr>
          <w:p w14:paraId="31487D24">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中国对外经济贸易信托有限公司－外贸信托－玄武33号集合资金信托计划</w:t>
            </w:r>
          </w:p>
        </w:tc>
        <w:tc>
          <w:tcPr>
            <w:tcW w:w="876" w:type="pct"/>
            <w:shd w:val="clear" w:color="auto" w:fill="auto"/>
            <w:vAlign w:val="center"/>
          </w:tcPr>
          <w:p w14:paraId="0206B96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53,972,384</w:t>
            </w:r>
          </w:p>
        </w:tc>
        <w:tc>
          <w:tcPr>
            <w:tcW w:w="869" w:type="pct"/>
            <w:shd w:val="clear" w:color="auto" w:fill="auto"/>
            <w:vAlign w:val="center"/>
          </w:tcPr>
          <w:p w14:paraId="04C26224">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1.79%</w:t>
            </w:r>
          </w:p>
        </w:tc>
        <w:tc>
          <w:tcPr>
            <w:tcW w:w="869" w:type="pct"/>
            <w:shd w:val="clear" w:color="auto" w:fill="auto"/>
            <w:vAlign w:val="center"/>
          </w:tcPr>
          <w:p w14:paraId="1DFA0CF9">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0BAA3DD1">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582AA584">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17</w:t>
            </w:r>
          </w:p>
        </w:tc>
        <w:tc>
          <w:tcPr>
            <w:tcW w:w="2147" w:type="pct"/>
            <w:shd w:val="clear" w:color="auto" w:fill="auto"/>
            <w:vAlign w:val="center"/>
          </w:tcPr>
          <w:p w14:paraId="7DEEF1BC">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无锡诚佳诚商贸有限公司</w:t>
            </w:r>
          </w:p>
        </w:tc>
        <w:tc>
          <w:tcPr>
            <w:tcW w:w="876" w:type="pct"/>
            <w:shd w:val="clear" w:color="auto" w:fill="auto"/>
            <w:vAlign w:val="center"/>
          </w:tcPr>
          <w:p w14:paraId="0CC0A5C4">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17,602,829</w:t>
            </w:r>
          </w:p>
        </w:tc>
        <w:tc>
          <w:tcPr>
            <w:tcW w:w="869" w:type="pct"/>
            <w:shd w:val="clear" w:color="auto" w:fill="auto"/>
            <w:vAlign w:val="center"/>
          </w:tcPr>
          <w:p w14:paraId="629DF644">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0.59%</w:t>
            </w:r>
          </w:p>
        </w:tc>
        <w:tc>
          <w:tcPr>
            <w:tcW w:w="869" w:type="pct"/>
            <w:shd w:val="clear" w:color="auto" w:fill="auto"/>
            <w:vAlign w:val="center"/>
          </w:tcPr>
          <w:p w14:paraId="345CDF9A">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57C6B910">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759CB298">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18</w:t>
            </w:r>
          </w:p>
        </w:tc>
        <w:tc>
          <w:tcPr>
            <w:tcW w:w="2147" w:type="pct"/>
            <w:shd w:val="clear" w:color="auto" w:fill="auto"/>
            <w:vAlign w:val="center"/>
          </w:tcPr>
          <w:p w14:paraId="5A24A105">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西安厦裕地产顾问有限公司</w:t>
            </w:r>
          </w:p>
        </w:tc>
        <w:tc>
          <w:tcPr>
            <w:tcW w:w="876" w:type="pct"/>
            <w:shd w:val="clear" w:color="auto" w:fill="auto"/>
            <w:vAlign w:val="center"/>
          </w:tcPr>
          <w:p w14:paraId="47CD63B2">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19,949,873</w:t>
            </w:r>
          </w:p>
        </w:tc>
        <w:tc>
          <w:tcPr>
            <w:tcW w:w="869" w:type="pct"/>
            <w:shd w:val="clear" w:color="auto" w:fill="auto"/>
            <w:vAlign w:val="center"/>
          </w:tcPr>
          <w:p w14:paraId="1AE99388">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0.66%</w:t>
            </w:r>
          </w:p>
        </w:tc>
        <w:tc>
          <w:tcPr>
            <w:tcW w:w="869" w:type="pct"/>
            <w:shd w:val="clear" w:color="auto" w:fill="auto"/>
            <w:vAlign w:val="center"/>
          </w:tcPr>
          <w:p w14:paraId="12A2AF5F">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690ECB18">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5AB643FA">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19</w:t>
            </w:r>
          </w:p>
        </w:tc>
        <w:tc>
          <w:tcPr>
            <w:tcW w:w="2147" w:type="pct"/>
            <w:shd w:val="clear" w:color="auto" w:fill="auto"/>
            <w:vAlign w:val="center"/>
          </w:tcPr>
          <w:p w14:paraId="0613B1CC">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上海铭志慧新能源合伙企业（有限合伙）</w:t>
            </w:r>
          </w:p>
        </w:tc>
        <w:tc>
          <w:tcPr>
            <w:tcW w:w="876" w:type="pct"/>
            <w:shd w:val="clear" w:color="auto" w:fill="auto"/>
            <w:vAlign w:val="center"/>
          </w:tcPr>
          <w:p w14:paraId="12024ED3">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35,247,193</w:t>
            </w:r>
          </w:p>
        </w:tc>
        <w:tc>
          <w:tcPr>
            <w:tcW w:w="869" w:type="pct"/>
            <w:shd w:val="clear" w:color="auto" w:fill="auto"/>
            <w:vAlign w:val="center"/>
          </w:tcPr>
          <w:p w14:paraId="5C71E070">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1.17%</w:t>
            </w:r>
          </w:p>
        </w:tc>
        <w:tc>
          <w:tcPr>
            <w:tcW w:w="869" w:type="pct"/>
            <w:shd w:val="clear" w:color="auto" w:fill="auto"/>
            <w:vAlign w:val="center"/>
          </w:tcPr>
          <w:p w14:paraId="7FB32EC6">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6D4B388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02540B1F">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20</w:t>
            </w:r>
          </w:p>
        </w:tc>
        <w:tc>
          <w:tcPr>
            <w:tcW w:w="2147" w:type="pct"/>
            <w:shd w:val="clear" w:color="auto" w:fill="auto"/>
            <w:vAlign w:val="center"/>
          </w:tcPr>
          <w:p w14:paraId="60C128BC">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中国中信金融资产管理股份有限公司</w:t>
            </w:r>
          </w:p>
        </w:tc>
        <w:tc>
          <w:tcPr>
            <w:tcW w:w="876" w:type="pct"/>
            <w:shd w:val="clear" w:color="auto" w:fill="auto"/>
            <w:vAlign w:val="center"/>
          </w:tcPr>
          <w:p w14:paraId="4CEA0102">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2,400,000</w:t>
            </w:r>
          </w:p>
        </w:tc>
        <w:tc>
          <w:tcPr>
            <w:tcW w:w="869" w:type="pct"/>
            <w:shd w:val="clear" w:color="auto" w:fill="auto"/>
            <w:vAlign w:val="center"/>
          </w:tcPr>
          <w:p w14:paraId="3A520AED">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0.08%</w:t>
            </w:r>
          </w:p>
        </w:tc>
        <w:tc>
          <w:tcPr>
            <w:tcW w:w="869" w:type="pct"/>
            <w:shd w:val="clear" w:color="auto" w:fill="auto"/>
            <w:vAlign w:val="center"/>
          </w:tcPr>
          <w:p w14:paraId="09D627B1">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00CDC4E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52119258">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21</w:t>
            </w:r>
          </w:p>
        </w:tc>
        <w:tc>
          <w:tcPr>
            <w:tcW w:w="2147" w:type="pct"/>
            <w:shd w:val="clear" w:color="auto" w:fill="auto"/>
            <w:vAlign w:val="center"/>
          </w:tcPr>
          <w:p w14:paraId="24F76546">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江苏江南商贸集团有限责任公司</w:t>
            </w:r>
          </w:p>
        </w:tc>
        <w:tc>
          <w:tcPr>
            <w:tcW w:w="876" w:type="pct"/>
            <w:shd w:val="clear" w:color="auto" w:fill="auto"/>
            <w:vAlign w:val="center"/>
          </w:tcPr>
          <w:p w14:paraId="7E7AFC65">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14,785,992</w:t>
            </w:r>
          </w:p>
        </w:tc>
        <w:tc>
          <w:tcPr>
            <w:tcW w:w="869" w:type="pct"/>
            <w:shd w:val="clear" w:color="auto" w:fill="auto"/>
            <w:vAlign w:val="center"/>
          </w:tcPr>
          <w:p w14:paraId="2A3E81A1">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0.49%</w:t>
            </w:r>
          </w:p>
        </w:tc>
        <w:tc>
          <w:tcPr>
            <w:tcW w:w="869" w:type="pct"/>
            <w:shd w:val="clear" w:color="auto" w:fill="auto"/>
            <w:vAlign w:val="center"/>
          </w:tcPr>
          <w:p w14:paraId="1E38DBD3">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6C923D35">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605E2905">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22</w:t>
            </w:r>
          </w:p>
        </w:tc>
        <w:tc>
          <w:tcPr>
            <w:tcW w:w="2147" w:type="pct"/>
            <w:shd w:val="clear" w:color="auto" w:fill="auto"/>
            <w:vAlign w:val="center"/>
          </w:tcPr>
          <w:p w14:paraId="79EB0E58">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苏州沙家浜旅游发展有限公司</w:t>
            </w:r>
          </w:p>
        </w:tc>
        <w:tc>
          <w:tcPr>
            <w:tcW w:w="876" w:type="pct"/>
            <w:shd w:val="clear" w:color="auto" w:fill="auto"/>
            <w:vAlign w:val="center"/>
          </w:tcPr>
          <w:p w14:paraId="2E0F0D25">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31,863,813</w:t>
            </w:r>
          </w:p>
        </w:tc>
        <w:tc>
          <w:tcPr>
            <w:tcW w:w="869" w:type="pct"/>
            <w:shd w:val="clear" w:color="auto" w:fill="auto"/>
            <w:vAlign w:val="center"/>
          </w:tcPr>
          <w:p w14:paraId="107A7BD9">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1.06%</w:t>
            </w:r>
          </w:p>
        </w:tc>
        <w:tc>
          <w:tcPr>
            <w:tcW w:w="869" w:type="pct"/>
            <w:shd w:val="clear" w:color="auto" w:fill="auto"/>
            <w:vAlign w:val="center"/>
          </w:tcPr>
          <w:p w14:paraId="43849208">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4BF279DB">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49C5C6DF">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23</w:t>
            </w:r>
          </w:p>
        </w:tc>
        <w:tc>
          <w:tcPr>
            <w:tcW w:w="2147" w:type="pct"/>
            <w:shd w:val="clear" w:color="auto" w:fill="auto"/>
            <w:vAlign w:val="center"/>
          </w:tcPr>
          <w:p w14:paraId="4E03AE4D">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中国东方资产管理股份有限公司</w:t>
            </w:r>
          </w:p>
        </w:tc>
        <w:tc>
          <w:tcPr>
            <w:tcW w:w="876" w:type="pct"/>
            <w:shd w:val="clear" w:color="auto" w:fill="auto"/>
            <w:vAlign w:val="center"/>
          </w:tcPr>
          <w:p w14:paraId="221149AD">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8,560,311</w:t>
            </w:r>
          </w:p>
        </w:tc>
        <w:tc>
          <w:tcPr>
            <w:tcW w:w="869" w:type="pct"/>
            <w:shd w:val="clear" w:color="auto" w:fill="auto"/>
            <w:vAlign w:val="center"/>
          </w:tcPr>
          <w:p w14:paraId="7A12C825">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0.28%</w:t>
            </w:r>
          </w:p>
        </w:tc>
        <w:tc>
          <w:tcPr>
            <w:tcW w:w="869" w:type="pct"/>
            <w:shd w:val="clear" w:color="auto" w:fill="auto"/>
            <w:vAlign w:val="center"/>
          </w:tcPr>
          <w:p w14:paraId="55D3122E">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5A47616C">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1AC5C531">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24</w:t>
            </w:r>
          </w:p>
        </w:tc>
        <w:tc>
          <w:tcPr>
            <w:tcW w:w="2147" w:type="pct"/>
            <w:shd w:val="clear" w:color="auto" w:fill="auto"/>
            <w:vAlign w:val="center"/>
          </w:tcPr>
          <w:p w14:paraId="2EBA8FE0">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宁夏小牛自动化设备股份有限公司</w:t>
            </w:r>
          </w:p>
        </w:tc>
        <w:tc>
          <w:tcPr>
            <w:tcW w:w="876" w:type="pct"/>
            <w:shd w:val="clear" w:color="auto" w:fill="auto"/>
            <w:vAlign w:val="center"/>
          </w:tcPr>
          <w:p w14:paraId="5EE8B524">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4,685,776</w:t>
            </w:r>
          </w:p>
        </w:tc>
        <w:tc>
          <w:tcPr>
            <w:tcW w:w="869" w:type="pct"/>
            <w:shd w:val="clear" w:color="auto" w:fill="auto"/>
            <w:vAlign w:val="center"/>
          </w:tcPr>
          <w:p w14:paraId="34F21C77">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0.16%</w:t>
            </w:r>
          </w:p>
        </w:tc>
        <w:tc>
          <w:tcPr>
            <w:tcW w:w="869" w:type="pct"/>
            <w:shd w:val="clear" w:color="auto" w:fill="auto"/>
            <w:vAlign w:val="center"/>
          </w:tcPr>
          <w:p w14:paraId="25D16926">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7455BBF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1F21ADD0">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25</w:t>
            </w:r>
          </w:p>
        </w:tc>
        <w:tc>
          <w:tcPr>
            <w:tcW w:w="2147" w:type="pct"/>
            <w:shd w:val="clear" w:color="auto" w:fill="auto"/>
            <w:vAlign w:val="center"/>
          </w:tcPr>
          <w:p w14:paraId="72DC6D13">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庄骁丹</w:t>
            </w:r>
          </w:p>
        </w:tc>
        <w:tc>
          <w:tcPr>
            <w:tcW w:w="876" w:type="pct"/>
            <w:shd w:val="clear" w:color="auto" w:fill="auto"/>
            <w:vAlign w:val="center"/>
          </w:tcPr>
          <w:p w14:paraId="152468D3">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275,280</w:t>
            </w:r>
          </w:p>
        </w:tc>
        <w:tc>
          <w:tcPr>
            <w:tcW w:w="869" w:type="pct"/>
            <w:shd w:val="clear" w:color="auto" w:fill="auto"/>
            <w:vAlign w:val="center"/>
          </w:tcPr>
          <w:p w14:paraId="1D415476">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0.01%</w:t>
            </w:r>
          </w:p>
        </w:tc>
        <w:tc>
          <w:tcPr>
            <w:tcW w:w="869" w:type="pct"/>
            <w:shd w:val="clear" w:color="auto" w:fill="auto"/>
            <w:vAlign w:val="center"/>
          </w:tcPr>
          <w:p w14:paraId="7D42863A">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79B273F0">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3AB5831A">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26</w:t>
            </w:r>
          </w:p>
        </w:tc>
        <w:tc>
          <w:tcPr>
            <w:tcW w:w="2147" w:type="pct"/>
            <w:shd w:val="clear" w:color="auto" w:fill="auto"/>
            <w:vAlign w:val="center"/>
          </w:tcPr>
          <w:p w14:paraId="5D11896E">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吴敏杰</w:t>
            </w:r>
          </w:p>
        </w:tc>
        <w:tc>
          <w:tcPr>
            <w:tcW w:w="876" w:type="pct"/>
            <w:shd w:val="clear" w:color="auto" w:fill="auto"/>
            <w:vAlign w:val="center"/>
          </w:tcPr>
          <w:p w14:paraId="0BEA9DF7">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5,713,307</w:t>
            </w:r>
          </w:p>
        </w:tc>
        <w:tc>
          <w:tcPr>
            <w:tcW w:w="869" w:type="pct"/>
            <w:shd w:val="clear" w:color="auto" w:fill="auto"/>
            <w:vAlign w:val="center"/>
          </w:tcPr>
          <w:p w14:paraId="208210D0">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0.19%</w:t>
            </w:r>
          </w:p>
        </w:tc>
        <w:tc>
          <w:tcPr>
            <w:tcW w:w="869" w:type="pct"/>
            <w:shd w:val="clear" w:color="auto" w:fill="auto"/>
            <w:vAlign w:val="center"/>
          </w:tcPr>
          <w:p w14:paraId="4707D675">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7724254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3EBE73D7">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27</w:t>
            </w:r>
          </w:p>
        </w:tc>
        <w:tc>
          <w:tcPr>
            <w:tcW w:w="2147" w:type="pct"/>
            <w:shd w:val="clear" w:color="auto" w:fill="auto"/>
            <w:vAlign w:val="center"/>
          </w:tcPr>
          <w:p w14:paraId="274F16F6">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王军</w:t>
            </w:r>
          </w:p>
        </w:tc>
        <w:tc>
          <w:tcPr>
            <w:tcW w:w="876" w:type="pct"/>
            <w:shd w:val="clear" w:color="auto" w:fill="auto"/>
            <w:vAlign w:val="center"/>
          </w:tcPr>
          <w:p w14:paraId="024A485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216,581</w:t>
            </w:r>
          </w:p>
        </w:tc>
        <w:tc>
          <w:tcPr>
            <w:tcW w:w="869" w:type="pct"/>
            <w:shd w:val="clear" w:color="auto" w:fill="auto"/>
            <w:vAlign w:val="center"/>
          </w:tcPr>
          <w:p w14:paraId="12A4C48D">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0.01%</w:t>
            </w:r>
          </w:p>
        </w:tc>
        <w:tc>
          <w:tcPr>
            <w:tcW w:w="869" w:type="pct"/>
            <w:shd w:val="clear" w:color="auto" w:fill="auto"/>
            <w:vAlign w:val="center"/>
          </w:tcPr>
          <w:p w14:paraId="4BB89869">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719109B2">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430912B3">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28</w:t>
            </w:r>
          </w:p>
        </w:tc>
        <w:tc>
          <w:tcPr>
            <w:tcW w:w="2147" w:type="pct"/>
            <w:shd w:val="clear" w:color="auto" w:fill="auto"/>
            <w:vAlign w:val="center"/>
          </w:tcPr>
          <w:p w14:paraId="3CB9C274">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沈健</w:t>
            </w:r>
          </w:p>
        </w:tc>
        <w:tc>
          <w:tcPr>
            <w:tcW w:w="876" w:type="pct"/>
            <w:shd w:val="clear" w:color="auto" w:fill="auto"/>
            <w:vAlign w:val="center"/>
          </w:tcPr>
          <w:p w14:paraId="5240B21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1,292,782</w:t>
            </w:r>
          </w:p>
        </w:tc>
        <w:tc>
          <w:tcPr>
            <w:tcW w:w="869" w:type="pct"/>
            <w:shd w:val="clear" w:color="auto" w:fill="auto"/>
            <w:vAlign w:val="center"/>
          </w:tcPr>
          <w:p w14:paraId="13D29D31">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0.04%</w:t>
            </w:r>
          </w:p>
        </w:tc>
        <w:tc>
          <w:tcPr>
            <w:tcW w:w="869" w:type="pct"/>
            <w:shd w:val="clear" w:color="auto" w:fill="auto"/>
            <w:vAlign w:val="center"/>
          </w:tcPr>
          <w:p w14:paraId="08CEB022">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513D04D4">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39699622">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29</w:t>
            </w:r>
          </w:p>
        </w:tc>
        <w:tc>
          <w:tcPr>
            <w:tcW w:w="2147" w:type="pct"/>
            <w:shd w:val="clear" w:color="auto" w:fill="auto"/>
            <w:vAlign w:val="center"/>
          </w:tcPr>
          <w:p w14:paraId="6248661D">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张丽洁</w:t>
            </w:r>
          </w:p>
        </w:tc>
        <w:tc>
          <w:tcPr>
            <w:tcW w:w="876" w:type="pct"/>
            <w:shd w:val="clear" w:color="auto" w:fill="auto"/>
            <w:vAlign w:val="center"/>
          </w:tcPr>
          <w:p w14:paraId="20639C8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175,092</w:t>
            </w:r>
          </w:p>
        </w:tc>
        <w:tc>
          <w:tcPr>
            <w:tcW w:w="869" w:type="pct"/>
            <w:shd w:val="clear" w:color="auto" w:fill="auto"/>
            <w:vAlign w:val="center"/>
          </w:tcPr>
          <w:p w14:paraId="06BA1AD1">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0.01%</w:t>
            </w:r>
          </w:p>
        </w:tc>
        <w:tc>
          <w:tcPr>
            <w:tcW w:w="869" w:type="pct"/>
            <w:shd w:val="clear" w:color="auto" w:fill="auto"/>
            <w:vAlign w:val="center"/>
          </w:tcPr>
          <w:p w14:paraId="01984CE8">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tr w14:paraId="54A71CF0">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54F9592D">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30</w:t>
            </w:r>
          </w:p>
        </w:tc>
        <w:tc>
          <w:tcPr>
            <w:tcW w:w="2147" w:type="pct"/>
            <w:shd w:val="clear" w:color="auto" w:fill="auto"/>
            <w:vAlign w:val="center"/>
          </w:tcPr>
          <w:p w14:paraId="78DA1745">
            <w:pPr>
              <w:bidi w:val="0"/>
              <w:spacing w:beforeAutospacing="0" w:afterAutospacing="0" w:line="240" w:lineRule="auto"/>
              <w:ind w:left="0" w:leftChars="0" w:right="0" w:rightChars="0" w:firstLine="0" w:firstLineChars="0"/>
              <w:jc w:val="left"/>
              <w:rPr>
                <w:rFonts w:hint="eastAsia" w:ascii="Times New Roman" w:hAnsi="Times New Roman" w:eastAsia="宋体"/>
                <w:b w:val="0"/>
                <w:color w:val="000000"/>
                <w:sz w:val="21"/>
                <w:lang w:val="en-US" w:eastAsia="en-US"/>
              </w:rPr>
            </w:pPr>
            <w:r>
              <w:rPr>
                <w:rFonts w:hint="eastAsia" w:ascii="Times New Roman" w:hAnsi="Times New Roman" w:eastAsia="宋体"/>
                <w:b w:val="0"/>
                <w:color w:val="000000"/>
                <w:sz w:val="21"/>
              </w:rPr>
              <w:t>兰世全</w:t>
            </w:r>
          </w:p>
        </w:tc>
        <w:tc>
          <w:tcPr>
            <w:tcW w:w="876" w:type="pct"/>
            <w:shd w:val="clear" w:color="auto" w:fill="auto"/>
            <w:vAlign w:val="center"/>
          </w:tcPr>
          <w:p w14:paraId="5757C5C8">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en-US"/>
              </w:rPr>
            </w:pPr>
            <w:r>
              <w:rPr>
                <w:rFonts w:ascii="Times New Roman" w:hAnsi="Times New Roman" w:eastAsia="宋体"/>
                <w:b w:val="0"/>
                <w:color w:val="000000"/>
                <w:sz w:val="21"/>
              </w:rPr>
              <w:t>400,134</w:t>
            </w:r>
          </w:p>
        </w:tc>
        <w:tc>
          <w:tcPr>
            <w:tcW w:w="869" w:type="pct"/>
            <w:shd w:val="clear" w:color="auto" w:fill="auto"/>
            <w:vAlign w:val="center"/>
          </w:tcPr>
          <w:p w14:paraId="0C590E6D">
            <w:pPr>
              <w:bidi w:val="0"/>
              <w:spacing w:beforeAutospacing="0" w:afterAutospacing="0" w:line="240" w:lineRule="auto"/>
              <w:ind w:left="0" w:leftChars="0" w:right="0" w:rightChars="0" w:firstLine="0" w:firstLineChars="0"/>
              <w:jc w:val="right"/>
              <w:rPr>
                <w:rFonts w:ascii="Times New Roman" w:hAnsi="Times New Roman" w:eastAsia="宋体"/>
                <w:b w:val="0"/>
                <w:color w:val="000000"/>
                <w:sz w:val="21"/>
              </w:rPr>
            </w:pPr>
            <w:r>
              <w:rPr>
                <w:rFonts w:hint="default" w:ascii="Times New Roman" w:hAnsi="Times New Roman" w:eastAsia="宋体"/>
                <w:b w:val="0"/>
                <w:color w:val="000000"/>
                <w:sz w:val="21"/>
                <w:lang w:val="en-US" w:eastAsia="zh-CN"/>
              </w:rPr>
              <w:t>0.01%</w:t>
            </w:r>
          </w:p>
        </w:tc>
        <w:tc>
          <w:tcPr>
            <w:tcW w:w="869" w:type="pct"/>
            <w:shd w:val="clear" w:color="auto" w:fill="auto"/>
            <w:vAlign w:val="center"/>
          </w:tcPr>
          <w:p w14:paraId="1C086EE4">
            <w:pPr>
              <w:bidi w:val="0"/>
              <w:spacing w:beforeAutospacing="0" w:afterAutospacing="0" w:line="240" w:lineRule="auto"/>
              <w:ind w:left="0" w:leftChars="0" w:right="0" w:rightChars="0" w:firstLine="0" w:firstLineChars="0"/>
              <w:jc w:val="right"/>
              <w:rPr>
                <w:rFonts w:hint="default"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限售股，过户完成后锁定期12个月</w:t>
            </w:r>
          </w:p>
        </w:tc>
      </w:tr>
      <w:bookmarkEnd w:id="1"/>
      <w:tr w14:paraId="0C29B45B">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37" w:type="pct"/>
            <w:shd w:val="clear" w:color="auto" w:fill="auto"/>
            <w:vAlign w:val="center"/>
          </w:tcPr>
          <w:p w14:paraId="548B0DA1">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rPr>
            </w:pPr>
          </w:p>
        </w:tc>
        <w:tc>
          <w:tcPr>
            <w:tcW w:w="2147" w:type="pct"/>
            <w:shd w:val="clear" w:color="auto" w:fill="auto"/>
            <w:vAlign w:val="center"/>
          </w:tcPr>
          <w:p w14:paraId="07F8846A">
            <w:pPr>
              <w:bidi w:val="0"/>
              <w:spacing w:beforeAutospacing="0" w:afterAutospacing="0" w:line="240" w:lineRule="auto"/>
              <w:ind w:left="0" w:leftChars="0" w:right="0" w:rightChars="0" w:firstLine="0" w:firstLineChars="0"/>
              <w:jc w:val="center"/>
              <w:rPr>
                <w:rFonts w:ascii="Times New Roman" w:hAnsi="Times New Roman" w:eastAsia="宋体"/>
                <w:b/>
                <w:bCs/>
                <w:color w:val="000000"/>
                <w:sz w:val="21"/>
              </w:rPr>
            </w:pPr>
            <w:r>
              <w:rPr>
                <w:rFonts w:ascii="Times New Roman" w:hAnsi="Times New Roman" w:eastAsia="宋体"/>
                <w:b/>
                <w:bCs/>
                <w:color w:val="000000"/>
                <w:sz w:val="21"/>
              </w:rPr>
              <w:t>合计</w:t>
            </w:r>
          </w:p>
        </w:tc>
        <w:tc>
          <w:tcPr>
            <w:tcW w:w="876" w:type="pct"/>
            <w:shd w:val="clear" w:color="auto" w:fill="auto"/>
            <w:vAlign w:val="center"/>
          </w:tcPr>
          <w:p w14:paraId="55AD507C">
            <w:pPr>
              <w:bidi w:val="0"/>
              <w:spacing w:beforeAutospacing="0" w:afterAutospacing="0" w:line="240" w:lineRule="auto"/>
              <w:ind w:left="0" w:leftChars="0" w:right="0" w:rightChars="0" w:firstLine="0" w:firstLineChars="0"/>
              <w:jc w:val="right"/>
              <w:rPr>
                <w:rFonts w:ascii="Times New Roman" w:hAnsi="Times New Roman" w:eastAsia="宋体"/>
                <w:b/>
                <w:bCs/>
                <w:color w:val="000000"/>
                <w:sz w:val="21"/>
              </w:rPr>
            </w:pPr>
            <w:r>
              <w:rPr>
                <w:rFonts w:ascii="Times New Roman" w:hAnsi="Times New Roman" w:eastAsia="宋体"/>
                <w:b/>
                <w:bCs/>
                <w:color w:val="000000"/>
                <w:sz w:val="21"/>
              </w:rPr>
              <w:fldChar w:fldCharType="begin"/>
            </w:r>
            <w:r>
              <w:rPr>
                <w:rFonts w:ascii="Times New Roman" w:hAnsi="Times New Roman" w:eastAsia="宋体"/>
                <w:b/>
                <w:bCs/>
                <w:color w:val="000000"/>
                <w:sz w:val="21"/>
              </w:rPr>
              <w:instrText xml:space="preserve"> =SUM(ABOVE) </w:instrText>
            </w:r>
            <w:r>
              <w:rPr>
                <w:rFonts w:ascii="Times New Roman" w:hAnsi="Times New Roman" w:eastAsia="宋体"/>
                <w:b/>
                <w:bCs/>
                <w:color w:val="000000"/>
                <w:sz w:val="21"/>
              </w:rPr>
              <w:fldChar w:fldCharType="separate"/>
            </w:r>
            <w:r>
              <w:rPr>
                <w:rFonts w:ascii="Times New Roman" w:hAnsi="Times New Roman" w:eastAsia="宋体"/>
                <w:b/>
                <w:bCs/>
                <w:color w:val="000000"/>
                <w:sz w:val="21"/>
              </w:rPr>
              <w:t>1,107,065,194</w:t>
            </w:r>
            <w:r>
              <w:rPr>
                <w:rFonts w:ascii="Times New Roman" w:hAnsi="Times New Roman" w:eastAsia="宋体"/>
                <w:b/>
                <w:bCs/>
                <w:color w:val="000000"/>
                <w:sz w:val="21"/>
              </w:rPr>
              <w:fldChar w:fldCharType="end"/>
            </w:r>
          </w:p>
        </w:tc>
        <w:tc>
          <w:tcPr>
            <w:tcW w:w="869" w:type="pct"/>
            <w:shd w:val="clear" w:color="auto" w:fill="auto"/>
            <w:vAlign w:val="center"/>
          </w:tcPr>
          <w:p w14:paraId="68C9E984">
            <w:pPr>
              <w:bidi w:val="0"/>
              <w:spacing w:beforeAutospacing="0" w:afterAutospacing="0" w:line="240" w:lineRule="auto"/>
              <w:ind w:left="0" w:leftChars="0" w:right="0" w:rightChars="0" w:firstLine="0" w:firstLineChars="0"/>
              <w:jc w:val="right"/>
              <w:rPr>
                <w:rFonts w:ascii="Times New Roman" w:hAnsi="Times New Roman" w:eastAsia="宋体"/>
                <w:b/>
                <w:bCs/>
                <w:color w:val="000000"/>
                <w:sz w:val="21"/>
              </w:rPr>
            </w:pPr>
            <w:r>
              <w:rPr>
                <w:rFonts w:hint="default" w:ascii="Times New Roman" w:hAnsi="Times New Roman" w:eastAsia="宋体"/>
                <w:b/>
                <w:bCs/>
                <w:color w:val="000000"/>
                <w:sz w:val="21"/>
                <w:lang w:val="en-US" w:eastAsia="zh-CN"/>
              </w:rPr>
              <w:t>36.81%</w:t>
            </w:r>
          </w:p>
        </w:tc>
        <w:tc>
          <w:tcPr>
            <w:tcW w:w="869" w:type="pct"/>
            <w:shd w:val="clear" w:color="auto" w:fill="auto"/>
            <w:vAlign w:val="center"/>
          </w:tcPr>
          <w:p w14:paraId="3EA6123B">
            <w:pPr>
              <w:bidi w:val="0"/>
              <w:spacing w:beforeAutospacing="0" w:afterAutospacing="0" w:line="240" w:lineRule="auto"/>
              <w:ind w:left="0" w:leftChars="0" w:right="0" w:rightChars="0" w:firstLine="0" w:firstLineChars="0"/>
              <w:jc w:val="right"/>
              <w:rPr>
                <w:rFonts w:hint="default" w:ascii="Times New Roman" w:hAnsi="Times New Roman" w:eastAsia="宋体"/>
                <w:b/>
                <w:bCs/>
                <w:color w:val="000000"/>
                <w:sz w:val="21"/>
                <w:lang w:val="en-US" w:eastAsia="zh-CN"/>
              </w:rPr>
            </w:pPr>
          </w:p>
        </w:tc>
      </w:tr>
    </w:tbl>
    <w:p w14:paraId="726FFCD7">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0" w:leftChars="0" w:firstLine="470" w:firstLineChars="200"/>
        <w:jc w:val="both"/>
        <w:textAlignment w:val="baseline"/>
        <w:rPr>
          <w:b/>
          <w:bCs/>
          <w:spacing w:val="-3"/>
        </w:rPr>
      </w:pPr>
      <w:r>
        <w:rPr>
          <w:rFonts w:hint="eastAsia" w:ascii="宋体" w:hAnsi="宋体" w:eastAsia="宋体" w:cs="宋体"/>
          <w:b/>
          <w:bCs/>
          <w:snapToGrid w:val="0"/>
          <w:color w:val="000000"/>
          <w:spacing w:val="-3"/>
          <w:kern w:val="0"/>
          <w:sz w:val="24"/>
          <w:szCs w:val="24"/>
          <w:lang w:val="en-US" w:eastAsia="en-US" w:bidi="ar-SA"/>
        </w:rPr>
        <w:t>三、</w:t>
      </w:r>
      <w:r>
        <w:rPr>
          <w:b/>
          <w:bCs/>
          <w:spacing w:val="-2"/>
        </w:rPr>
        <w:t>本次限售股形成后至今公司股份数量变</w:t>
      </w:r>
      <w:r>
        <w:rPr>
          <w:b/>
          <w:bCs/>
          <w:spacing w:val="-3"/>
        </w:rPr>
        <w:t>化情况</w:t>
      </w:r>
    </w:p>
    <w:p w14:paraId="79B0D41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Chars="0" w:firstLine="468" w:firstLineChars="200"/>
        <w:jc w:val="both"/>
        <w:textAlignment w:val="baseline"/>
        <w:rPr>
          <w:rFonts w:hint="eastAsia"/>
          <w:spacing w:val="-3"/>
        </w:rPr>
      </w:pPr>
      <w:r>
        <w:rPr>
          <w:rFonts w:hint="eastAsia"/>
          <w:spacing w:val="-3"/>
        </w:rPr>
        <w:t>本次限售股形成后，截至本核查意见出具日，公司总股本未发生变化。</w:t>
      </w:r>
    </w:p>
    <w:p w14:paraId="628289D0">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0" w:leftChars="0" w:firstLine="466" w:firstLineChars="200"/>
        <w:jc w:val="both"/>
        <w:textAlignment w:val="baseline"/>
        <w:rPr>
          <w:b/>
          <w:bCs/>
          <w:spacing w:val="-4"/>
          <w:highlight w:val="none"/>
        </w:rPr>
      </w:pPr>
      <w:r>
        <w:rPr>
          <w:rFonts w:hint="eastAsia" w:ascii="宋体" w:hAnsi="宋体" w:eastAsia="宋体" w:cs="宋体"/>
          <w:b/>
          <w:bCs/>
          <w:snapToGrid w:val="0"/>
          <w:color w:val="000000"/>
          <w:spacing w:val="-4"/>
          <w:kern w:val="0"/>
          <w:sz w:val="24"/>
          <w:szCs w:val="24"/>
          <w:lang w:val="en-US" w:eastAsia="en-US" w:bidi="ar-SA"/>
        </w:rPr>
        <w:t>四、</w:t>
      </w:r>
      <w:r>
        <w:rPr>
          <w:b/>
          <w:bCs/>
          <w:spacing w:val="-4"/>
          <w:highlight w:val="none"/>
        </w:rPr>
        <w:t>本次限售股上市流通的有关承诺</w:t>
      </w:r>
    </w:p>
    <w:p w14:paraId="58A86E94">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Chars="200"/>
        <w:jc w:val="both"/>
        <w:textAlignment w:val="baseline"/>
        <w:rPr>
          <w:rFonts w:hint="default" w:eastAsia="宋体"/>
          <w:b w:val="0"/>
          <w:bCs w:val="0"/>
          <w:spacing w:val="-4"/>
          <w:highlight w:val="none"/>
          <w:lang w:val="en-US" w:eastAsia="zh-CN"/>
        </w:rPr>
      </w:pPr>
      <w:r>
        <w:rPr>
          <w:rFonts w:hint="eastAsia"/>
          <w:b w:val="0"/>
          <w:bCs w:val="0"/>
          <w:spacing w:val="-4"/>
          <w:highlight w:val="none"/>
          <w:lang w:val="en-US" w:eastAsia="zh-CN"/>
        </w:rPr>
        <w:t>1、股东承诺情况</w:t>
      </w:r>
    </w:p>
    <w:tbl>
      <w:tblPr>
        <w:tblStyle w:val="8"/>
        <w:tblW w:w="5000"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Layout w:type="fixed"/>
        <w:tblCellMar>
          <w:top w:w="0" w:type="dxa"/>
          <w:left w:w="108" w:type="dxa"/>
          <w:bottom w:w="0" w:type="dxa"/>
          <w:right w:w="108" w:type="dxa"/>
        </w:tblCellMar>
      </w:tblPr>
      <w:tblGrid>
        <w:gridCol w:w="2800"/>
        <w:gridCol w:w="1305"/>
        <w:gridCol w:w="1366"/>
        <w:gridCol w:w="1073"/>
        <w:gridCol w:w="878"/>
        <w:gridCol w:w="1106"/>
      </w:tblGrid>
      <w:tr w14:paraId="680F5EB5">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tblHeader/>
          <w:jc w:val="center"/>
        </w:trPr>
        <w:tc>
          <w:tcPr>
            <w:tcW w:w="1641" w:type="pct"/>
            <w:shd w:val="clear" w:color="auto" w:fill="auto"/>
            <w:vAlign w:val="center"/>
          </w:tcPr>
          <w:p w14:paraId="67D60A81">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highlight w:val="none"/>
              </w:rPr>
            </w:pPr>
            <w:r>
              <w:rPr>
                <w:rFonts w:ascii="Times New Roman" w:hAnsi="Times New Roman" w:eastAsia="宋体"/>
                <w:b/>
                <w:color w:val="000000"/>
                <w:sz w:val="21"/>
                <w:highlight w:val="none"/>
              </w:rPr>
              <w:t>承诺方</w:t>
            </w:r>
          </w:p>
        </w:tc>
        <w:tc>
          <w:tcPr>
            <w:tcW w:w="765" w:type="pct"/>
            <w:shd w:val="clear" w:color="auto" w:fill="auto"/>
            <w:vAlign w:val="center"/>
          </w:tcPr>
          <w:p w14:paraId="2B07203B">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highlight w:val="none"/>
              </w:rPr>
            </w:pPr>
            <w:r>
              <w:rPr>
                <w:rFonts w:ascii="Times New Roman" w:hAnsi="Times New Roman" w:eastAsia="宋体"/>
                <w:b/>
                <w:color w:val="000000"/>
                <w:sz w:val="21"/>
                <w:highlight w:val="none"/>
              </w:rPr>
              <w:t>承诺类型</w:t>
            </w:r>
          </w:p>
        </w:tc>
        <w:tc>
          <w:tcPr>
            <w:tcW w:w="800" w:type="pct"/>
            <w:shd w:val="clear" w:color="auto" w:fill="auto"/>
            <w:vAlign w:val="center"/>
          </w:tcPr>
          <w:p w14:paraId="525CA151">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highlight w:val="none"/>
              </w:rPr>
            </w:pPr>
            <w:r>
              <w:rPr>
                <w:rFonts w:ascii="Times New Roman" w:hAnsi="Times New Roman" w:eastAsia="宋体"/>
                <w:b/>
                <w:color w:val="000000"/>
                <w:sz w:val="21"/>
                <w:highlight w:val="none"/>
              </w:rPr>
              <w:t>承诺内容</w:t>
            </w:r>
          </w:p>
        </w:tc>
        <w:tc>
          <w:tcPr>
            <w:tcW w:w="629" w:type="pct"/>
            <w:shd w:val="clear" w:color="auto" w:fill="auto"/>
            <w:vAlign w:val="center"/>
          </w:tcPr>
          <w:p w14:paraId="3D0DF8B5">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highlight w:val="none"/>
              </w:rPr>
            </w:pPr>
            <w:r>
              <w:rPr>
                <w:rFonts w:ascii="Times New Roman" w:hAnsi="Times New Roman" w:eastAsia="宋体"/>
                <w:b/>
                <w:color w:val="000000"/>
                <w:sz w:val="21"/>
                <w:highlight w:val="none"/>
              </w:rPr>
              <w:t>承诺开始时间</w:t>
            </w:r>
          </w:p>
        </w:tc>
        <w:tc>
          <w:tcPr>
            <w:tcW w:w="514" w:type="pct"/>
            <w:shd w:val="clear" w:color="auto" w:fill="auto"/>
            <w:vAlign w:val="center"/>
          </w:tcPr>
          <w:p w14:paraId="2A64FF21">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highlight w:val="none"/>
              </w:rPr>
            </w:pPr>
            <w:r>
              <w:rPr>
                <w:rFonts w:ascii="Times New Roman" w:hAnsi="Times New Roman" w:eastAsia="宋体"/>
                <w:b/>
                <w:color w:val="000000"/>
                <w:sz w:val="21"/>
                <w:highlight w:val="none"/>
              </w:rPr>
              <w:t>承诺期限</w:t>
            </w:r>
          </w:p>
        </w:tc>
        <w:tc>
          <w:tcPr>
            <w:tcW w:w="648" w:type="pct"/>
            <w:shd w:val="clear" w:color="auto" w:fill="auto"/>
            <w:vAlign w:val="center"/>
          </w:tcPr>
          <w:p w14:paraId="348DAB17">
            <w:pPr>
              <w:keepNext/>
              <w:bidi w:val="0"/>
              <w:spacing w:beforeAutospacing="0" w:afterAutospacing="0" w:line="240" w:lineRule="auto"/>
              <w:ind w:left="0" w:leftChars="0" w:right="0" w:rightChars="0" w:firstLine="0" w:firstLineChars="0"/>
              <w:jc w:val="center"/>
              <w:rPr>
                <w:rFonts w:ascii="Times New Roman" w:hAnsi="Times New Roman" w:eastAsia="宋体"/>
                <w:b/>
                <w:color w:val="000000"/>
                <w:sz w:val="21"/>
                <w:highlight w:val="none"/>
              </w:rPr>
            </w:pPr>
            <w:r>
              <w:rPr>
                <w:rFonts w:ascii="Times New Roman" w:hAnsi="Times New Roman" w:eastAsia="宋体"/>
                <w:b/>
                <w:color w:val="000000"/>
                <w:sz w:val="21"/>
                <w:highlight w:val="none"/>
              </w:rPr>
              <w:t>履行情况</w:t>
            </w:r>
          </w:p>
        </w:tc>
      </w:tr>
      <w:tr w14:paraId="5946E9F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1641" w:type="pct"/>
            <w:shd w:val="clear" w:color="auto" w:fill="auto"/>
            <w:vAlign w:val="center"/>
          </w:tcPr>
          <w:p w14:paraId="4CEAAE06">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China</w:t>
            </w:r>
            <w:r>
              <w:rPr>
                <w:rFonts w:hint="eastAsia" w:ascii="Times New Roman" w:hAnsi="Times New Roman" w:eastAsia="宋体"/>
                <w:b w:val="0"/>
                <w:color w:val="000000"/>
                <w:sz w:val="21"/>
                <w:highlight w:val="none"/>
                <w:lang w:val="en-US" w:eastAsia="zh-CN"/>
              </w:rPr>
              <w:t xml:space="preserve"> </w:t>
            </w:r>
            <w:r>
              <w:rPr>
                <w:rFonts w:hint="eastAsia" w:ascii="Times New Roman" w:hAnsi="Times New Roman" w:eastAsia="宋体"/>
                <w:b w:val="0"/>
                <w:color w:val="000000"/>
                <w:sz w:val="21"/>
                <w:highlight w:val="none"/>
              </w:rPr>
              <w:t>Orient</w:t>
            </w:r>
            <w:r>
              <w:rPr>
                <w:rFonts w:hint="eastAsia" w:ascii="Times New Roman" w:hAnsi="Times New Roman" w:eastAsia="宋体"/>
                <w:b w:val="0"/>
                <w:color w:val="000000"/>
                <w:sz w:val="21"/>
                <w:highlight w:val="none"/>
                <w:lang w:val="en-US" w:eastAsia="zh-CN"/>
              </w:rPr>
              <w:t xml:space="preserve"> </w:t>
            </w:r>
            <w:r>
              <w:rPr>
                <w:rFonts w:hint="eastAsia" w:ascii="Times New Roman" w:hAnsi="Times New Roman" w:eastAsia="宋体"/>
                <w:b w:val="0"/>
                <w:color w:val="000000"/>
                <w:sz w:val="21"/>
                <w:highlight w:val="none"/>
              </w:rPr>
              <w:t>Enhanced</w:t>
            </w:r>
            <w:r>
              <w:rPr>
                <w:rFonts w:hint="eastAsia" w:ascii="Times New Roman" w:hAnsi="Times New Roman" w:eastAsia="宋体"/>
                <w:b w:val="0"/>
                <w:color w:val="000000"/>
                <w:sz w:val="21"/>
                <w:highlight w:val="none"/>
                <w:lang w:val="en-US" w:eastAsia="zh-CN"/>
              </w:rPr>
              <w:t xml:space="preserve"> </w:t>
            </w:r>
            <w:r>
              <w:rPr>
                <w:rFonts w:hint="eastAsia" w:ascii="Times New Roman" w:hAnsi="Times New Roman" w:eastAsia="宋体"/>
                <w:b w:val="0"/>
                <w:color w:val="000000"/>
                <w:sz w:val="21"/>
                <w:highlight w:val="none"/>
              </w:rPr>
              <w:t>Income</w:t>
            </w:r>
            <w:r>
              <w:rPr>
                <w:rFonts w:hint="eastAsia" w:ascii="Times New Roman" w:hAnsi="Times New Roman" w:eastAsia="宋体"/>
                <w:b w:val="0"/>
                <w:color w:val="000000"/>
                <w:sz w:val="21"/>
                <w:highlight w:val="none"/>
                <w:lang w:val="en-US" w:eastAsia="zh-CN"/>
              </w:rPr>
              <w:t xml:space="preserve"> </w:t>
            </w:r>
            <w:r>
              <w:rPr>
                <w:rFonts w:hint="eastAsia" w:ascii="Times New Roman" w:hAnsi="Times New Roman" w:eastAsia="宋体"/>
                <w:b w:val="0"/>
                <w:color w:val="000000"/>
                <w:sz w:val="21"/>
                <w:highlight w:val="none"/>
              </w:rPr>
              <w:t>Fund;北京博雅春芽投资有限公司;杜月姣;湖北华楚国科十一号投资合伙企业（有限合伙）;金丽春;刘青科;宁波铭志企业管理有限公司;农银企航(苏州)私募基金管理有限公司;上海苏宿昌投资管理有限公司;深圳健恩私募证券基金管理有限公司;深圳市招商平安资产管理有限责任公司;苏州宏新股权投资合伙企业;外贸信托-玄武33号集合资金信托计划;王浚;无锡诚佳诚商贸有限公司;西安厦裕地产顾问有限公司;阎蕊</w:t>
            </w:r>
          </w:p>
        </w:tc>
        <w:tc>
          <w:tcPr>
            <w:tcW w:w="765" w:type="pct"/>
            <w:shd w:val="clear" w:color="auto" w:fill="auto"/>
            <w:vAlign w:val="center"/>
          </w:tcPr>
          <w:p w14:paraId="37CE1F26">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锁定期承诺</w:t>
            </w:r>
          </w:p>
        </w:tc>
        <w:tc>
          <w:tcPr>
            <w:tcW w:w="800" w:type="pct"/>
            <w:shd w:val="clear" w:color="auto" w:fill="auto"/>
            <w:vAlign w:val="center"/>
          </w:tcPr>
          <w:p w14:paraId="10547F0F">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自转增股票过户至其证券账户之日12个月内不通过任何形式转让其所持有的股票</w:t>
            </w:r>
          </w:p>
        </w:tc>
        <w:tc>
          <w:tcPr>
            <w:tcW w:w="629" w:type="pct"/>
            <w:shd w:val="clear" w:color="auto" w:fill="auto"/>
            <w:vAlign w:val="center"/>
          </w:tcPr>
          <w:p w14:paraId="600E1C71">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2024年12月30日</w:t>
            </w:r>
          </w:p>
        </w:tc>
        <w:tc>
          <w:tcPr>
            <w:tcW w:w="514" w:type="pct"/>
            <w:shd w:val="clear" w:color="auto" w:fill="auto"/>
            <w:vAlign w:val="center"/>
          </w:tcPr>
          <w:p w14:paraId="2D16396D">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12个月</w:t>
            </w:r>
          </w:p>
        </w:tc>
        <w:tc>
          <w:tcPr>
            <w:tcW w:w="648" w:type="pct"/>
            <w:shd w:val="clear" w:color="auto" w:fill="auto"/>
            <w:vAlign w:val="center"/>
          </w:tcPr>
          <w:p w14:paraId="04A6BFC7">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履行完毕</w:t>
            </w:r>
          </w:p>
        </w:tc>
      </w:tr>
      <w:tr w14:paraId="2C6D8ABE">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641" w:type="pct"/>
            <w:shd w:val="clear" w:color="auto" w:fill="auto"/>
            <w:vAlign w:val="center"/>
          </w:tcPr>
          <w:p w14:paraId="11055E5D">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杜月姣;湖北华楚国科十一号投资合伙企业（有限合伙）;金丽春;刘青科;宁波铭志企业管理有限公司;农银企航(苏州)私募基金管理有限公司;上海苏宿昌投资管理有限公司;深圳健恩私募证券基金管理有限公司;王浚;无锡诚佳诚商贸有限公司;西安厦裕地产顾问有限公司;阎蕊</w:t>
            </w:r>
          </w:p>
        </w:tc>
        <w:tc>
          <w:tcPr>
            <w:tcW w:w="765" w:type="pct"/>
            <w:shd w:val="clear" w:color="auto" w:fill="auto"/>
            <w:vAlign w:val="center"/>
          </w:tcPr>
          <w:p w14:paraId="5B165E51">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表决权放弃承诺</w:t>
            </w:r>
          </w:p>
        </w:tc>
        <w:tc>
          <w:tcPr>
            <w:tcW w:w="800" w:type="pct"/>
            <w:shd w:val="clear" w:color="auto" w:fill="auto"/>
            <w:vAlign w:val="center"/>
          </w:tcPr>
          <w:p w14:paraId="4A3BA9FC">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自转增股票过户至名下之日起至不再持有公司股份期间，不可撤销地放弃持有的公司全部股份所对应的股东表决权及提名权、提案权等除收益权和股份转让权等财产性权利之外的权利,放弃根据法律、法规规章及规范性文件或上市公司章程需要股东大会讨论、决议的事项的表决权，但涉及股份所有权、股份转让、股份质押等直接涉及所持股份处分事宜的事项除外。</w:t>
            </w:r>
          </w:p>
        </w:tc>
        <w:tc>
          <w:tcPr>
            <w:tcW w:w="629" w:type="pct"/>
            <w:shd w:val="clear" w:color="auto" w:fill="auto"/>
            <w:vAlign w:val="center"/>
          </w:tcPr>
          <w:p w14:paraId="46A5DC7A">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2024年12月30日</w:t>
            </w:r>
          </w:p>
        </w:tc>
        <w:tc>
          <w:tcPr>
            <w:tcW w:w="514" w:type="pct"/>
            <w:shd w:val="clear" w:color="auto" w:fill="auto"/>
            <w:vAlign w:val="center"/>
          </w:tcPr>
          <w:p w14:paraId="0FCCCDB9">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持有公司股票期间</w:t>
            </w:r>
          </w:p>
        </w:tc>
        <w:tc>
          <w:tcPr>
            <w:tcW w:w="648" w:type="pct"/>
            <w:shd w:val="clear" w:color="auto" w:fill="auto"/>
            <w:vAlign w:val="center"/>
          </w:tcPr>
          <w:p w14:paraId="33D5F9F1">
            <w:pPr>
              <w:bidi w:val="0"/>
              <w:spacing w:beforeAutospacing="0" w:afterAutospacing="0" w:line="240" w:lineRule="auto"/>
              <w:ind w:left="0" w:leftChars="0" w:right="0" w:rightChars="0" w:firstLine="0" w:firstLineChars="0"/>
              <w:jc w:val="left"/>
              <w:rPr>
                <w:rFonts w:ascii="Times New Roman" w:hAnsi="Times New Roman" w:eastAsia="宋体"/>
                <w:b w:val="0"/>
                <w:color w:val="000000"/>
                <w:sz w:val="21"/>
                <w:highlight w:val="none"/>
              </w:rPr>
            </w:pPr>
            <w:r>
              <w:rPr>
                <w:rFonts w:hint="eastAsia" w:ascii="Times New Roman" w:hAnsi="Times New Roman" w:eastAsia="宋体"/>
                <w:b w:val="0"/>
                <w:color w:val="000000"/>
                <w:sz w:val="21"/>
                <w:highlight w:val="none"/>
              </w:rPr>
              <w:t>正在履行</w:t>
            </w:r>
          </w:p>
        </w:tc>
      </w:tr>
    </w:tbl>
    <w:p w14:paraId="10BD00A3">
      <w:pPr>
        <w:pStyle w:val="3"/>
        <w:keepNext w:val="0"/>
        <w:keepLines w:val="0"/>
        <w:pageBreakBefore w:val="0"/>
        <w:widowControl/>
        <w:numPr>
          <w:ilvl w:val="0"/>
          <w:numId w:val="1"/>
        </w:numPr>
        <w:kinsoku w:val="0"/>
        <w:wordWrap/>
        <w:overflowPunct/>
        <w:topLinePunct w:val="0"/>
        <w:autoSpaceDE w:val="0"/>
        <w:autoSpaceDN w:val="0"/>
        <w:bidi w:val="0"/>
        <w:adjustRightInd w:val="0"/>
        <w:snapToGrid w:val="0"/>
        <w:spacing w:before="0" w:beforeLines="50" w:after="0" w:afterLines="50" w:line="360" w:lineRule="auto"/>
        <w:ind w:right="0" w:firstLine="468" w:firstLineChars="200"/>
        <w:textAlignment w:val="baseline"/>
        <w:rPr>
          <w:highlight w:val="none"/>
        </w:rPr>
      </w:pPr>
      <w:r>
        <w:rPr>
          <w:rFonts w:hint="eastAsia"/>
          <w:spacing w:val="-3"/>
          <w:highlight w:val="none"/>
          <w:lang w:val="en-US" w:eastAsia="zh-CN"/>
        </w:rPr>
        <w:t>承诺履行情况</w:t>
      </w:r>
    </w:p>
    <w:p w14:paraId="035DB5B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right="0" w:rightChars="0" w:firstLine="468" w:firstLineChars="200"/>
        <w:jc w:val="both"/>
        <w:textAlignment w:val="baseline"/>
        <w:rPr>
          <w:rFonts w:hint="eastAsia"/>
          <w:spacing w:val="-3"/>
          <w:highlight w:val="none"/>
          <w:lang w:val="en-US" w:eastAsia="zh-CN"/>
        </w:rPr>
      </w:pPr>
      <w:r>
        <w:rPr>
          <w:rFonts w:hint="eastAsia"/>
          <w:spacing w:val="-3"/>
          <w:highlight w:val="none"/>
          <w:lang w:val="en-US" w:eastAsia="zh-CN"/>
        </w:rPr>
        <w:t>经核查，截至本核查意见出具日，上述申请解除股份限售的股东严格履行了上述承诺，不存在相关承诺未履行影响本次限售股上市流通的情况。</w:t>
      </w:r>
    </w:p>
    <w:p w14:paraId="74D9C2C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0" w:leftChars="0" w:right="0" w:rightChars="0" w:firstLine="470" w:firstLineChars="200"/>
        <w:jc w:val="both"/>
        <w:textAlignment w:val="baseline"/>
        <w:rPr>
          <w:b/>
          <w:bCs/>
          <w:spacing w:val="-3"/>
          <w:highlight w:val="none"/>
        </w:rPr>
      </w:pPr>
      <w:r>
        <w:rPr>
          <w:rFonts w:hint="eastAsia" w:ascii="宋体" w:hAnsi="宋体" w:eastAsia="宋体" w:cs="宋体"/>
          <w:b/>
          <w:bCs/>
          <w:snapToGrid w:val="0"/>
          <w:color w:val="000000"/>
          <w:spacing w:val="-3"/>
          <w:kern w:val="0"/>
          <w:sz w:val="24"/>
          <w:szCs w:val="24"/>
          <w:lang w:val="en-US" w:eastAsia="en-US" w:bidi="ar-SA"/>
        </w:rPr>
        <w:t>五、</w:t>
      </w:r>
      <w:r>
        <w:rPr>
          <w:b/>
          <w:bCs/>
          <w:spacing w:val="-3"/>
          <w:highlight w:val="none"/>
        </w:rPr>
        <w:t>本次解除限售股份的上市流通安排</w:t>
      </w:r>
    </w:p>
    <w:p w14:paraId="6BA1C7E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Chars="0" w:right="0" w:rightChars="0" w:firstLine="460" w:firstLineChars="200"/>
        <w:jc w:val="left"/>
        <w:textAlignment w:val="baseline"/>
        <w:rPr>
          <w:rFonts w:ascii="Times New Roman" w:hAnsi="Times New Roman" w:eastAsia="宋体"/>
          <w:b w:val="0"/>
          <w:spacing w:val="-6"/>
        </w:rPr>
      </w:pPr>
      <w:r>
        <w:rPr>
          <w:rFonts w:ascii="Times New Roman" w:hAnsi="Times New Roman" w:eastAsia="宋体" w:cs="Times New Roman"/>
          <w:b w:val="0"/>
          <w:spacing w:val="-5"/>
        </w:rPr>
        <w:t>1</w:t>
      </w:r>
      <w:r>
        <w:rPr>
          <w:rFonts w:ascii="Times New Roman" w:hAnsi="Times New Roman" w:eastAsia="宋体"/>
          <w:b w:val="0"/>
          <w:spacing w:val="-5"/>
        </w:rPr>
        <w:t>、</w:t>
      </w:r>
      <w:r>
        <w:rPr>
          <w:rFonts w:hint="eastAsia" w:ascii="Times New Roman" w:hAnsi="Times New Roman" w:eastAsia="宋体"/>
          <w:b w:val="0"/>
          <w:spacing w:val="-5"/>
        </w:rPr>
        <w:t>本次解除限售股份的数量：1,107,065,194股，占公司总股本的36.8081%。</w:t>
      </w:r>
    </w:p>
    <w:p w14:paraId="0B269671">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Chars="0" w:right="0" w:rightChars="0" w:firstLine="484" w:firstLineChars="200"/>
        <w:jc w:val="left"/>
        <w:textAlignment w:val="baseline"/>
        <w:rPr>
          <w:rFonts w:ascii="Times New Roman" w:hAnsi="Times New Roman" w:eastAsia="宋体"/>
          <w:b w:val="0"/>
          <w:spacing w:val="-3"/>
        </w:rPr>
      </w:pPr>
      <w:r>
        <w:rPr>
          <w:rFonts w:ascii="Times New Roman" w:hAnsi="Times New Roman" w:eastAsia="宋体" w:cs="Times New Roman"/>
          <w:b w:val="0"/>
          <w:spacing w:val="1"/>
        </w:rPr>
        <w:t>2</w:t>
      </w:r>
      <w:r>
        <w:rPr>
          <w:rFonts w:ascii="Times New Roman" w:hAnsi="Times New Roman" w:eastAsia="宋体"/>
          <w:b w:val="0"/>
          <w:spacing w:val="1"/>
        </w:rPr>
        <w:t>、</w:t>
      </w:r>
      <w:r>
        <w:rPr>
          <w:rFonts w:hint="eastAsia" w:ascii="Times New Roman" w:hAnsi="Times New Roman" w:eastAsia="宋体"/>
          <w:b w:val="0"/>
          <w:spacing w:val="1"/>
        </w:rPr>
        <w:t>本次解除限售股份的上市流通日期：2026年1月8日。</w:t>
      </w:r>
    </w:p>
    <w:p w14:paraId="04FCEA4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Chars="0" w:right="0" w:rightChars="0" w:firstLine="472" w:firstLineChars="200"/>
        <w:jc w:val="left"/>
        <w:textAlignment w:val="baseline"/>
        <w:rPr>
          <w:rFonts w:hint="eastAsia" w:ascii="Times New Roman" w:hAnsi="Times New Roman"/>
          <w:b w:val="0"/>
          <w:spacing w:val="-2"/>
          <w:lang w:eastAsia="zh-CN"/>
        </w:rPr>
      </w:pPr>
      <w:r>
        <w:rPr>
          <w:rFonts w:ascii="Times New Roman" w:hAnsi="Times New Roman" w:eastAsia="宋体" w:cs="Times New Roman"/>
          <w:b w:val="0"/>
          <w:spacing w:val="-2"/>
        </w:rPr>
        <w:t>3</w:t>
      </w:r>
      <w:r>
        <w:rPr>
          <w:rFonts w:ascii="Times New Roman" w:hAnsi="Times New Roman" w:eastAsia="宋体"/>
          <w:b w:val="0"/>
          <w:spacing w:val="-2"/>
        </w:rPr>
        <w:t>、</w:t>
      </w:r>
      <w:r>
        <w:rPr>
          <w:rFonts w:hint="eastAsia" w:ascii="Times New Roman" w:hAnsi="Times New Roman" w:eastAsia="宋体"/>
          <w:b w:val="0"/>
          <w:spacing w:val="-2"/>
        </w:rPr>
        <w:t>本次股份解除限售及上市流通情况如下</w:t>
      </w:r>
      <w:r>
        <w:rPr>
          <w:rFonts w:hint="eastAsia" w:ascii="Times New Roman" w:hAnsi="Times New Roman"/>
          <w:b w:val="0"/>
          <w:spacing w:val="-2"/>
          <w:lang w:eastAsia="zh-CN"/>
        </w:rPr>
        <w:t>：</w:t>
      </w:r>
    </w:p>
    <w:tbl>
      <w:tblPr>
        <w:tblStyle w:val="6"/>
        <w:tblW w:w="5000"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Layout w:type="autofit"/>
        <w:tblCellMar>
          <w:top w:w="0" w:type="dxa"/>
          <w:left w:w="108" w:type="dxa"/>
          <w:bottom w:w="0" w:type="dxa"/>
          <w:right w:w="108" w:type="dxa"/>
        </w:tblCellMar>
      </w:tblPr>
      <w:tblGrid>
        <w:gridCol w:w="495"/>
        <w:gridCol w:w="2936"/>
        <w:gridCol w:w="1798"/>
        <w:gridCol w:w="1798"/>
        <w:gridCol w:w="1501"/>
      </w:tblGrid>
      <w:tr w14:paraId="301BA565">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tblHeader/>
          <w:jc w:val="center"/>
        </w:trPr>
        <w:tc>
          <w:tcPr>
            <w:tcW w:w="290" w:type="pct"/>
            <w:shd w:val="clear" w:color="auto" w:fill="auto"/>
            <w:vAlign w:val="center"/>
          </w:tcPr>
          <w:p w14:paraId="4D0A9D11">
            <w:pPr>
              <w:keepNext/>
              <w:bidi w:val="0"/>
              <w:spacing w:beforeAutospacing="0" w:afterAutospacing="0" w:line="240" w:lineRule="auto"/>
              <w:ind w:left="0" w:leftChars="0" w:right="0" w:rightChars="0" w:firstLine="0" w:firstLineChars="0"/>
              <w:jc w:val="center"/>
              <w:rPr>
                <w:rFonts w:hint="eastAsia" w:ascii="Times New Roman" w:hAnsi="Times New Roman" w:eastAsia="宋体"/>
                <w:b/>
                <w:color w:val="000000"/>
                <w:sz w:val="21"/>
              </w:rPr>
            </w:pPr>
            <w:r>
              <w:rPr>
                <w:rFonts w:hint="eastAsia" w:ascii="Times New Roman" w:hAnsi="Times New Roman" w:eastAsia="宋体"/>
                <w:b/>
                <w:color w:val="000000"/>
                <w:sz w:val="21"/>
              </w:rPr>
              <w:t>序号</w:t>
            </w:r>
          </w:p>
        </w:tc>
        <w:tc>
          <w:tcPr>
            <w:tcW w:w="1720" w:type="pct"/>
            <w:shd w:val="clear" w:color="auto" w:fill="auto"/>
            <w:vAlign w:val="center"/>
          </w:tcPr>
          <w:p w14:paraId="2B386FEA">
            <w:pPr>
              <w:keepNext/>
              <w:bidi w:val="0"/>
              <w:spacing w:beforeAutospacing="0" w:afterAutospacing="0" w:line="240" w:lineRule="auto"/>
              <w:ind w:left="0" w:leftChars="0" w:right="0" w:rightChars="0" w:firstLine="0" w:firstLineChars="0"/>
              <w:jc w:val="center"/>
              <w:rPr>
                <w:rFonts w:hint="eastAsia" w:ascii="Times New Roman" w:hAnsi="Times New Roman" w:eastAsia="宋体"/>
                <w:b/>
                <w:color w:val="000000"/>
                <w:sz w:val="21"/>
              </w:rPr>
            </w:pPr>
            <w:r>
              <w:rPr>
                <w:rFonts w:hint="eastAsia" w:ascii="Times New Roman" w:hAnsi="Times New Roman" w:eastAsia="宋体"/>
                <w:b/>
                <w:color w:val="000000"/>
                <w:sz w:val="21"/>
              </w:rPr>
              <w:t>股东名称</w:t>
            </w:r>
          </w:p>
        </w:tc>
        <w:tc>
          <w:tcPr>
            <w:tcW w:w="1054" w:type="pct"/>
            <w:shd w:val="clear" w:color="auto" w:fill="auto"/>
            <w:vAlign w:val="center"/>
          </w:tcPr>
          <w:p w14:paraId="2F2A3C93">
            <w:pPr>
              <w:keepNext/>
              <w:bidi w:val="0"/>
              <w:spacing w:beforeAutospacing="0" w:afterAutospacing="0" w:line="240" w:lineRule="auto"/>
              <w:ind w:left="0" w:leftChars="0" w:right="0" w:rightChars="0" w:firstLine="0" w:firstLineChars="0"/>
              <w:jc w:val="center"/>
              <w:rPr>
                <w:rFonts w:hint="eastAsia" w:ascii="Times New Roman" w:hAnsi="Times New Roman" w:eastAsia="宋体"/>
                <w:b/>
                <w:color w:val="000000"/>
                <w:sz w:val="21"/>
              </w:rPr>
            </w:pPr>
            <w:r>
              <w:rPr>
                <w:rFonts w:hint="eastAsia" w:ascii="Times New Roman" w:hAnsi="Times New Roman" w:eastAsia="宋体"/>
                <w:b/>
                <w:color w:val="000000"/>
                <w:sz w:val="21"/>
              </w:rPr>
              <w:t>持有限售股份数量（股）</w:t>
            </w:r>
          </w:p>
        </w:tc>
        <w:tc>
          <w:tcPr>
            <w:tcW w:w="1054" w:type="pct"/>
            <w:shd w:val="clear" w:color="auto" w:fill="auto"/>
            <w:vAlign w:val="center"/>
          </w:tcPr>
          <w:p w14:paraId="0262A1B5">
            <w:pPr>
              <w:keepNext/>
              <w:bidi w:val="0"/>
              <w:spacing w:beforeAutospacing="0" w:afterAutospacing="0" w:line="240" w:lineRule="auto"/>
              <w:ind w:left="0" w:leftChars="0" w:right="0" w:rightChars="0" w:firstLine="0" w:firstLineChars="0"/>
              <w:jc w:val="center"/>
              <w:rPr>
                <w:rFonts w:hint="eastAsia" w:ascii="Times New Roman" w:hAnsi="Times New Roman" w:eastAsia="宋体"/>
                <w:b/>
                <w:color w:val="000000"/>
                <w:sz w:val="21"/>
              </w:rPr>
            </w:pPr>
            <w:r>
              <w:rPr>
                <w:rFonts w:hint="eastAsia" w:ascii="Times New Roman" w:hAnsi="Times New Roman" w:eastAsia="宋体"/>
                <w:b/>
                <w:color w:val="000000"/>
                <w:sz w:val="21"/>
              </w:rPr>
              <w:t>本次解除限售数量（股）</w:t>
            </w:r>
          </w:p>
        </w:tc>
        <w:tc>
          <w:tcPr>
            <w:tcW w:w="880" w:type="pct"/>
            <w:shd w:val="clear" w:color="auto" w:fill="auto"/>
            <w:vAlign w:val="center"/>
          </w:tcPr>
          <w:p w14:paraId="1CE2491D">
            <w:pPr>
              <w:keepNext/>
              <w:bidi w:val="0"/>
              <w:spacing w:beforeAutospacing="0" w:afterAutospacing="0" w:line="240" w:lineRule="auto"/>
              <w:ind w:left="0" w:leftChars="0" w:right="0" w:rightChars="0" w:firstLine="0" w:firstLineChars="0"/>
              <w:jc w:val="center"/>
              <w:rPr>
                <w:rFonts w:hint="eastAsia" w:ascii="Times New Roman" w:hAnsi="Times New Roman" w:eastAsia="宋体"/>
                <w:b/>
                <w:color w:val="000000"/>
                <w:sz w:val="21"/>
              </w:rPr>
            </w:pPr>
            <w:r>
              <w:rPr>
                <w:rFonts w:hint="eastAsia" w:ascii="Times New Roman" w:hAnsi="Times New Roman" w:eastAsia="宋体"/>
                <w:b/>
                <w:color w:val="000000"/>
                <w:sz w:val="21"/>
              </w:rPr>
              <w:t>是否存在质押/冻结情况</w:t>
            </w:r>
          </w:p>
        </w:tc>
      </w:tr>
      <w:tr w14:paraId="1F3FB277">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2FA4E59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w:t>
            </w:r>
          </w:p>
        </w:tc>
        <w:tc>
          <w:tcPr>
            <w:tcW w:w="1720" w:type="pct"/>
            <w:shd w:val="clear" w:color="auto" w:fill="auto"/>
            <w:vAlign w:val="center"/>
          </w:tcPr>
          <w:p w14:paraId="0354BF8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杜月姣</w:t>
            </w:r>
          </w:p>
        </w:tc>
        <w:tc>
          <w:tcPr>
            <w:tcW w:w="1054" w:type="pct"/>
            <w:shd w:val="clear" w:color="auto" w:fill="auto"/>
            <w:vAlign w:val="center"/>
          </w:tcPr>
          <w:p w14:paraId="50B33C5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150,000,000</w:t>
            </w:r>
          </w:p>
        </w:tc>
        <w:tc>
          <w:tcPr>
            <w:tcW w:w="1054" w:type="pct"/>
            <w:shd w:val="clear" w:color="auto" w:fill="auto"/>
            <w:vAlign w:val="center"/>
          </w:tcPr>
          <w:p w14:paraId="6776E9C3">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150,000,000</w:t>
            </w:r>
          </w:p>
        </w:tc>
        <w:tc>
          <w:tcPr>
            <w:tcW w:w="880" w:type="pct"/>
            <w:shd w:val="clear" w:color="auto" w:fill="auto"/>
            <w:vAlign w:val="center"/>
          </w:tcPr>
          <w:p w14:paraId="57F2C59D">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468688E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24FD2A28">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w:t>
            </w:r>
          </w:p>
        </w:tc>
        <w:tc>
          <w:tcPr>
            <w:tcW w:w="1720" w:type="pct"/>
            <w:shd w:val="clear" w:color="auto" w:fill="auto"/>
            <w:vAlign w:val="center"/>
          </w:tcPr>
          <w:p w14:paraId="0539FF29">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刘青科</w:t>
            </w:r>
          </w:p>
        </w:tc>
        <w:tc>
          <w:tcPr>
            <w:tcW w:w="1054" w:type="pct"/>
            <w:shd w:val="clear" w:color="auto" w:fill="auto"/>
            <w:vAlign w:val="center"/>
          </w:tcPr>
          <w:p w14:paraId="20B6379B">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88,014,147</w:t>
            </w:r>
          </w:p>
        </w:tc>
        <w:tc>
          <w:tcPr>
            <w:tcW w:w="1054" w:type="pct"/>
            <w:shd w:val="clear" w:color="auto" w:fill="auto"/>
            <w:vAlign w:val="center"/>
          </w:tcPr>
          <w:p w14:paraId="288465B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88,014,147</w:t>
            </w:r>
          </w:p>
        </w:tc>
        <w:tc>
          <w:tcPr>
            <w:tcW w:w="880" w:type="pct"/>
            <w:shd w:val="clear" w:color="auto" w:fill="auto"/>
            <w:vAlign w:val="center"/>
          </w:tcPr>
          <w:p w14:paraId="7A3DF4F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088B19BD">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0EA803FE">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3</w:t>
            </w:r>
          </w:p>
        </w:tc>
        <w:tc>
          <w:tcPr>
            <w:tcW w:w="1720" w:type="pct"/>
            <w:shd w:val="clear" w:color="auto" w:fill="auto"/>
            <w:vAlign w:val="center"/>
          </w:tcPr>
          <w:p w14:paraId="26C360A4">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中国东方国际资产管理有限公司－中国东方收益增强基金</w:t>
            </w:r>
          </w:p>
        </w:tc>
        <w:tc>
          <w:tcPr>
            <w:tcW w:w="1054" w:type="pct"/>
            <w:shd w:val="clear" w:color="auto" w:fill="auto"/>
            <w:vAlign w:val="center"/>
          </w:tcPr>
          <w:p w14:paraId="6BE0453E">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85,280,657</w:t>
            </w:r>
          </w:p>
        </w:tc>
        <w:tc>
          <w:tcPr>
            <w:tcW w:w="1054" w:type="pct"/>
            <w:shd w:val="clear" w:color="auto" w:fill="auto"/>
            <w:vAlign w:val="center"/>
          </w:tcPr>
          <w:p w14:paraId="64C5E86E">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85,280,657</w:t>
            </w:r>
          </w:p>
        </w:tc>
        <w:tc>
          <w:tcPr>
            <w:tcW w:w="880" w:type="pct"/>
            <w:shd w:val="clear" w:color="auto" w:fill="auto"/>
            <w:vAlign w:val="center"/>
          </w:tcPr>
          <w:p w14:paraId="17729E7A">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77BD1C7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3A8BFE8B">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4</w:t>
            </w:r>
          </w:p>
        </w:tc>
        <w:tc>
          <w:tcPr>
            <w:tcW w:w="1720" w:type="pct"/>
            <w:shd w:val="clear" w:color="auto" w:fill="auto"/>
            <w:vAlign w:val="center"/>
          </w:tcPr>
          <w:p w14:paraId="784613EA">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中国东方国际资产管理有限公司－稳健收益基金1号</w:t>
            </w:r>
          </w:p>
        </w:tc>
        <w:tc>
          <w:tcPr>
            <w:tcW w:w="1054" w:type="pct"/>
            <w:shd w:val="clear" w:color="auto" w:fill="auto"/>
            <w:vAlign w:val="center"/>
          </w:tcPr>
          <w:p w14:paraId="41F4AD97">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60,847,675</w:t>
            </w:r>
          </w:p>
        </w:tc>
        <w:tc>
          <w:tcPr>
            <w:tcW w:w="1054" w:type="pct"/>
            <w:shd w:val="clear" w:color="auto" w:fill="auto"/>
            <w:vAlign w:val="center"/>
          </w:tcPr>
          <w:p w14:paraId="3F9FF057">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60,847,675</w:t>
            </w:r>
          </w:p>
        </w:tc>
        <w:tc>
          <w:tcPr>
            <w:tcW w:w="880" w:type="pct"/>
            <w:shd w:val="clear" w:color="auto" w:fill="auto"/>
            <w:vAlign w:val="center"/>
          </w:tcPr>
          <w:p w14:paraId="75D403EE">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475F34B1">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0611B6B3">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5</w:t>
            </w:r>
          </w:p>
        </w:tc>
        <w:tc>
          <w:tcPr>
            <w:tcW w:w="1720" w:type="pct"/>
            <w:shd w:val="clear" w:color="auto" w:fill="auto"/>
            <w:vAlign w:val="center"/>
          </w:tcPr>
          <w:p w14:paraId="4863FC0F">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阎蕊</w:t>
            </w:r>
          </w:p>
        </w:tc>
        <w:tc>
          <w:tcPr>
            <w:tcW w:w="1054" w:type="pct"/>
            <w:shd w:val="clear" w:color="auto" w:fill="auto"/>
            <w:vAlign w:val="center"/>
          </w:tcPr>
          <w:p w14:paraId="4D2651F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58,676,098</w:t>
            </w:r>
          </w:p>
        </w:tc>
        <w:tc>
          <w:tcPr>
            <w:tcW w:w="1054" w:type="pct"/>
            <w:shd w:val="clear" w:color="auto" w:fill="auto"/>
            <w:vAlign w:val="center"/>
          </w:tcPr>
          <w:p w14:paraId="3429150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58,676,098</w:t>
            </w:r>
          </w:p>
        </w:tc>
        <w:tc>
          <w:tcPr>
            <w:tcW w:w="880" w:type="pct"/>
            <w:shd w:val="clear" w:color="auto" w:fill="auto"/>
            <w:vAlign w:val="center"/>
          </w:tcPr>
          <w:p w14:paraId="2718655E">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28AA86C8">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28344011">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6</w:t>
            </w:r>
          </w:p>
        </w:tc>
        <w:tc>
          <w:tcPr>
            <w:tcW w:w="1720" w:type="pct"/>
            <w:shd w:val="clear" w:color="auto" w:fill="auto"/>
            <w:vAlign w:val="center"/>
          </w:tcPr>
          <w:p w14:paraId="14D5A121">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金丽春</w:t>
            </w:r>
          </w:p>
        </w:tc>
        <w:tc>
          <w:tcPr>
            <w:tcW w:w="1054" w:type="pct"/>
            <w:shd w:val="clear" w:color="auto" w:fill="auto"/>
            <w:vAlign w:val="center"/>
          </w:tcPr>
          <w:p w14:paraId="6CFEA44B">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46,940,879</w:t>
            </w:r>
          </w:p>
        </w:tc>
        <w:tc>
          <w:tcPr>
            <w:tcW w:w="1054" w:type="pct"/>
            <w:shd w:val="clear" w:color="auto" w:fill="auto"/>
            <w:vAlign w:val="center"/>
          </w:tcPr>
          <w:p w14:paraId="44D8DFFF">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46,940,879</w:t>
            </w:r>
          </w:p>
        </w:tc>
        <w:tc>
          <w:tcPr>
            <w:tcW w:w="880" w:type="pct"/>
            <w:shd w:val="clear" w:color="auto" w:fill="auto"/>
            <w:vAlign w:val="center"/>
          </w:tcPr>
          <w:p w14:paraId="4F161F8A">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33C0849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5904100C">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7</w:t>
            </w:r>
          </w:p>
        </w:tc>
        <w:tc>
          <w:tcPr>
            <w:tcW w:w="1720" w:type="pct"/>
            <w:shd w:val="clear" w:color="auto" w:fill="auto"/>
            <w:vAlign w:val="center"/>
          </w:tcPr>
          <w:p w14:paraId="595450D3">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王浚</w:t>
            </w:r>
          </w:p>
        </w:tc>
        <w:tc>
          <w:tcPr>
            <w:tcW w:w="1054" w:type="pct"/>
            <w:shd w:val="clear" w:color="auto" w:fill="auto"/>
            <w:vAlign w:val="center"/>
          </w:tcPr>
          <w:p w14:paraId="668160DA">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29,338,049</w:t>
            </w:r>
          </w:p>
        </w:tc>
        <w:tc>
          <w:tcPr>
            <w:tcW w:w="1054" w:type="pct"/>
            <w:shd w:val="clear" w:color="auto" w:fill="auto"/>
            <w:vAlign w:val="center"/>
          </w:tcPr>
          <w:p w14:paraId="5B82283A">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29,338,049</w:t>
            </w:r>
          </w:p>
        </w:tc>
        <w:tc>
          <w:tcPr>
            <w:tcW w:w="880" w:type="pct"/>
            <w:shd w:val="clear" w:color="auto" w:fill="auto"/>
            <w:vAlign w:val="center"/>
          </w:tcPr>
          <w:p w14:paraId="2B4E1C34">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是，冻结1</w:t>
            </w:r>
            <w:r>
              <w:rPr>
                <w:rFonts w:ascii="Times New Roman" w:hAnsi="Times New Roman" w:eastAsia="宋体"/>
                <w:b w:val="0"/>
                <w:color w:val="000000"/>
                <w:sz w:val="21"/>
              </w:rPr>
              <w:t>,</w:t>
            </w:r>
            <w:r>
              <w:rPr>
                <w:rFonts w:hint="eastAsia" w:ascii="Times New Roman" w:hAnsi="Times New Roman" w:eastAsia="宋体"/>
                <w:b w:val="0"/>
                <w:color w:val="000000"/>
                <w:sz w:val="21"/>
              </w:rPr>
              <w:t>800</w:t>
            </w:r>
            <w:r>
              <w:rPr>
                <w:rFonts w:ascii="Times New Roman" w:hAnsi="Times New Roman" w:eastAsia="宋体"/>
                <w:b w:val="0"/>
                <w:color w:val="000000"/>
                <w:sz w:val="21"/>
              </w:rPr>
              <w:t>,</w:t>
            </w:r>
            <w:r>
              <w:rPr>
                <w:rFonts w:hint="eastAsia" w:ascii="Times New Roman" w:hAnsi="Times New Roman" w:eastAsia="宋体"/>
                <w:b w:val="0"/>
                <w:color w:val="000000"/>
                <w:sz w:val="21"/>
              </w:rPr>
              <w:t>000股</w:t>
            </w:r>
          </w:p>
        </w:tc>
      </w:tr>
      <w:tr w14:paraId="083EEE0E">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1D27267A">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8</w:t>
            </w:r>
          </w:p>
        </w:tc>
        <w:tc>
          <w:tcPr>
            <w:tcW w:w="1720" w:type="pct"/>
            <w:shd w:val="clear" w:color="auto" w:fill="auto"/>
            <w:vAlign w:val="center"/>
          </w:tcPr>
          <w:p w14:paraId="01CDB4A4">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深圳市招平三号投资中心（有限合伙）</w:t>
            </w:r>
          </w:p>
        </w:tc>
        <w:tc>
          <w:tcPr>
            <w:tcW w:w="1054" w:type="pct"/>
            <w:shd w:val="clear" w:color="auto" w:fill="auto"/>
            <w:vAlign w:val="center"/>
          </w:tcPr>
          <w:p w14:paraId="12369B8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75,092,013</w:t>
            </w:r>
          </w:p>
        </w:tc>
        <w:tc>
          <w:tcPr>
            <w:tcW w:w="1054" w:type="pct"/>
            <w:shd w:val="clear" w:color="auto" w:fill="auto"/>
            <w:vAlign w:val="center"/>
          </w:tcPr>
          <w:p w14:paraId="5CF9D427">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75,092,013</w:t>
            </w:r>
          </w:p>
        </w:tc>
        <w:tc>
          <w:tcPr>
            <w:tcW w:w="880" w:type="pct"/>
            <w:shd w:val="clear" w:color="auto" w:fill="auto"/>
            <w:vAlign w:val="center"/>
          </w:tcPr>
          <w:p w14:paraId="774CC271">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20138950">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64983E1F">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9</w:t>
            </w:r>
          </w:p>
        </w:tc>
        <w:tc>
          <w:tcPr>
            <w:tcW w:w="1720" w:type="pct"/>
            <w:shd w:val="clear" w:color="auto" w:fill="auto"/>
            <w:vAlign w:val="center"/>
          </w:tcPr>
          <w:p w14:paraId="7E52A555">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农银企航（苏州）私募基金管理有限公司</w:t>
            </w:r>
          </w:p>
        </w:tc>
        <w:tc>
          <w:tcPr>
            <w:tcW w:w="1054" w:type="pct"/>
            <w:shd w:val="clear" w:color="auto" w:fill="auto"/>
            <w:vAlign w:val="center"/>
          </w:tcPr>
          <w:p w14:paraId="72571E80">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60,000,000</w:t>
            </w:r>
          </w:p>
        </w:tc>
        <w:tc>
          <w:tcPr>
            <w:tcW w:w="1054" w:type="pct"/>
            <w:shd w:val="clear" w:color="auto" w:fill="auto"/>
            <w:vAlign w:val="center"/>
          </w:tcPr>
          <w:p w14:paraId="5D23A585">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60,000,000</w:t>
            </w:r>
          </w:p>
        </w:tc>
        <w:tc>
          <w:tcPr>
            <w:tcW w:w="880" w:type="pct"/>
            <w:shd w:val="clear" w:color="auto" w:fill="auto"/>
            <w:vAlign w:val="center"/>
          </w:tcPr>
          <w:p w14:paraId="3B91D68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3E1234B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3E67E38B">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10</w:t>
            </w:r>
          </w:p>
        </w:tc>
        <w:tc>
          <w:tcPr>
            <w:tcW w:w="1720" w:type="pct"/>
            <w:shd w:val="clear" w:color="auto" w:fill="auto"/>
            <w:vAlign w:val="center"/>
          </w:tcPr>
          <w:p w14:paraId="45A0F501">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深圳健恩私募证券基金管理有限公司－健恩饮水思源稳健1号私募证券投资基金</w:t>
            </w:r>
          </w:p>
        </w:tc>
        <w:tc>
          <w:tcPr>
            <w:tcW w:w="1054" w:type="pct"/>
            <w:shd w:val="clear" w:color="auto" w:fill="auto"/>
            <w:vAlign w:val="center"/>
          </w:tcPr>
          <w:p w14:paraId="34D4A0A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40,919,798</w:t>
            </w:r>
          </w:p>
        </w:tc>
        <w:tc>
          <w:tcPr>
            <w:tcW w:w="1054" w:type="pct"/>
            <w:shd w:val="clear" w:color="auto" w:fill="auto"/>
            <w:vAlign w:val="center"/>
          </w:tcPr>
          <w:p w14:paraId="265B547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40,919,798</w:t>
            </w:r>
          </w:p>
        </w:tc>
        <w:tc>
          <w:tcPr>
            <w:tcW w:w="880" w:type="pct"/>
            <w:shd w:val="clear" w:color="auto" w:fill="auto"/>
            <w:vAlign w:val="center"/>
          </w:tcPr>
          <w:p w14:paraId="18C4D059">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0BAA84C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44322564">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11</w:t>
            </w:r>
          </w:p>
        </w:tc>
        <w:tc>
          <w:tcPr>
            <w:tcW w:w="1720" w:type="pct"/>
            <w:shd w:val="clear" w:color="auto" w:fill="auto"/>
            <w:vAlign w:val="center"/>
          </w:tcPr>
          <w:p w14:paraId="451652AB">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苏州宏新股权投资合伙企业（有限合伙）</w:t>
            </w:r>
          </w:p>
        </w:tc>
        <w:tc>
          <w:tcPr>
            <w:tcW w:w="1054" w:type="pct"/>
            <w:shd w:val="clear" w:color="auto" w:fill="auto"/>
            <w:vAlign w:val="center"/>
          </w:tcPr>
          <w:p w14:paraId="0AFD1240">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29,338,049</w:t>
            </w:r>
          </w:p>
        </w:tc>
        <w:tc>
          <w:tcPr>
            <w:tcW w:w="1054" w:type="pct"/>
            <w:shd w:val="clear" w:color="auto" w:fill="auto"/>
            <w:vAlign w:val="center"/>
          </w:tcPr>
          <w:p w14:paraId="245F1A03">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29,338,049</w:t>
            </w:r>
          </w:p>
        </w:tc>
        <w:tc>
          <w:tcPr>
            <w:tcW w:w="880" w:type="pct"/>
            <w:shd w:val="clear" w:color="auto" w:fill="auto"/>
            <w:vAlign w:val="center"/>
          </w:tcPr>
          <w:p w14:paraId="6F75BC4E">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2E93065C">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5D78A990">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12</w:t>
            </w:r>
          </w:p>
        </w:tc>
        <w:tc>
          <w:tcPr>
            <w:tcW w:w="1720" w:type="pct"/>
            <w:shd w:val="clear" w:color="auto" w:fill="auto"/>
            <w:vAlign w:val="center"/>
          </w:tcPr>
          <w:p w14:paraId="3AF20C1E">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深圳信发二号企业管理中心（有限合伙）</w:t>
            </w:r>
          </w:p>
        </w:tc>
        <w:tc>
          <w:tcPr>
            <w:tcW w:w="1054" w:type="pct"/>
            <w:shd w:val="clear" w:color="auto" w:fill="auto"/>
            <w:vAlign w:val="center"/>
          </w:tcPr>
          <w:p w14:paraId="4BC2F7B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29,338,049</w:t>
            </w:r>
          </w:p>
        </w:tc>
        <w:tc>
          <w:tcPr>
            <w:tcW w:w="1054" w:type="pct"/>
            <w:shd w:val="clear" w:color="auto" w:fill="auto"/>
            <w:vAlign w:val="center"/>
          </w:tcPr>
          <w:p w14:paraId="45521002">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29,338,049</w:t>
            </w:r>
          </w:p>
        </w:tc>
        <w:tc>
          <w:tcPr>
            <w:tcW w:w="880" w:type="pct"/>
            <w:shd w:val="clear" w:color="auto" w:fill="auto"/>
            <w:vAlign w:val="center"/>
          </w:tcPr>
          <w:p w14:paraId="783CFB6F">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5A479902">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5FE85135">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13</w:t>
            </w:r>
          </w:p>
        </w:tc>
        <w:tc>
          <w:tcPr>
            <w:tcW w:w="1720" w:type="pct"/>
            <w:shd w:val="clear" w:color="auto" w:fill="auto"/>
            <w:vAlign w:val="center"/>
          </w:tcPr>
          <w:p w14:paraId="0EC3C06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湖北华楚国科十一号投资合伙企业（有限合伙）</w:t>
            </w:r>
          </w:p>
        </w:tc>
        <w:tc>
          <w:tcPr>
            <w:tcW w:w="1054" w:type="pct"/>
            <w:shd w:val="clear" w:color="auto" w:fill="auto"/>
            <w:vAlign w:val="center"/>
          </w:tcPr>
          <w:p w14:paraId="202EF005">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70,411,318</w:t>
            </w:r>
          </w:p>
        </w:tc>
        <w:tc>
          <w:tcPr>
            <w:tcW w:w="1054" w:type="pct"/>
            <w:shd w:val="clear" w:color="auto" w:fill="auto"/>
            <w:vAlign w:val="center"/>
          </w:tcPr>
          <w:p w14:paraId="252E8E82">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70,411,318</w:t>
            </w:r>
          </w:p>
        </w:tc>
        <w:tc>
          <w:tcPr>
            <w:tcW w:w="880" w:type="pct"/>
            <w:shd w:val="clear" w:color="auto" w:fill="auto"/>
            <w:vAlign w:val="center"/>
          </w:tcPr>
          <w:p w14:paraId="061DDB69">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07C58EC6">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0FA287E0">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14</w:t>
            </w:r>
          </w:p>
        </w:tc>
        <w:tc>
          <w:tcPr>
            <w:tcW w:w="1720" w:type="pct"/>
            <w:shd w:val="clear" w:color="auto" w:fill="auto"/>
            <w:vAlign w:val="center"/>
          </w:tcPr>
          <w:p w14:paraId="08BBC544">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北京雅谦春芽科技发展中心（有限合伙）</w:t>
            </w:r>
          </w:p>
        </w:tc>
        <w:tc>
          <w:tcPr>
            <w:tcW w:w="1054" w:type="pct"/>
            <w:shd w:val="clear" w:color="auto" w:fill="auto"/>
            <w:vAlign w:val="center"/>
          </w:tcPr>
          <w:p w14:paraId="4230AF0D">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35,070,799</w:t>
            </w:r>
          </w:p>
        </w:tc>
        <w:tc>
          <w:tcPr>
            <w:tcW w:w="1054" w:type="pct"/>
            <w:shd w:val="clear" w:color="auto" w:fill="auto"/>
            <w:vAlign w:val="center"/>
          </w:tcPr>
          <w:p w14:paraId="7D362D8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35,070,799</w:t>
            </w:r>
          </w:p>
        </w:tc>
        <w:tc>
          <w:tcPr>
            <w:tcW w:w="880" w:type="pct"/>
            <w:shd w:val="clear" w:color="auto" w:fill="auto"/>
            <w:vAlign w:val="center"/>
          </w:tcPr>
          <w:p w14:paraId="227D5C80">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6E0E61B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10C38244">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15</w:t>
            </w:r>
          </w:p>
        </w:tc>
        <w:tc>
          <w:tcPr>
            <w:tcW w:w="1720" w:type="pct"/>
            <w:shd w:val="clear" w:color="auto" w:fill="auto"/>
            <w:vAlign w:val="center"/>
          </w:tcPr>
          <w:p w14:paraId="6329130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北京雅慧春芽科技发展中心（有限合伙）</w:t>
            </w:r>
          </w:p>
        </w:tc>
        <w:tc>
          <w:tcPr>
            <w:tcW w:w="1054" w:type="pct"/>
            <w:shd w:val="clear" w:color="auto" w:fill="auto"/>
            <w:vAlign w:val="center"/>
          </w:tcPr>
          <w:p w14:paraId="73406E82">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50,656,316</w:t>
            </w:r>
          </w:p>
        </w:tc>
        <w:tc>
          <w:tcPr>
            <w:tcW w:w="1054" w:type="pct"/>
            <w:shd w:val="clear" w:color="auto" w:fill="auto"/>
            <w:vAlign w:val="center"/>
          </w:tcPr>
          <w:p w14:paraId="555BA4B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50,656,316</w:t>
            </w:r>
          </w:p>
        </w:tc>
        <w:tc>
          <w:tcPr>
            <w:tcW w:w="880" w:type="pct"/>
            <w:shd w:val="clear" w:color="auto" w:fill="auto"/>
            <w:vAlign w:val="center"/>
          </w:tcPr>
          <w:p w14:paraId="37CBA54D">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69017901">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1ED444D2">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16</w:t>
            </w:r>
          </w:p>
        </w:tc>
        <w:tc>
          <w:tcPr>
            <w:tcW w:w="1720" w:type="pct"/>
            <w:shd w:val="clear" w:color="auto" w:fill="auto"/>
            <w:vAlign w:val="center"/>
          </w:tcPr>
          <w:p w14:paraId="023CC448">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中国对外经济贸易信托有限公司－外贸信托－玄武33号集合资金信托计划</w:t>
            </w:r>
          </w:p>
        </w:tc>
        <w:tc>
          <w:tcPr>
            <w:tcW w:w="1054" w:type="pct"/>
            <w:shd w:val="clear" w:color="auto" w:fill="auto"/>
            <w:vAlign w:val="center"/>
          </w:tcPr>
          <w:p w14:paraId="33CA6F90">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53,972,384</w:t>
            </w:r>
          </w:p>
        </w:tc>
        <w:tc>
          <w:tcPr>
            <w:tcW w:w="1054" w:type="pct"/>
            <w:shd w:val="clear" w:color="auto" w:fill="auto"/>
            <w:vAlign w:val="center"/>
          </w:tcPr>
          <w:p w14:paraId="5D1F8A1B">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53,972,384</w:t>
            </w:r>
          </w:p>
        </w:tc>
        <w:tc>
          <w:tcPr>
            <w:tcW w:w="880" w:type="pct"/>
            <w:shd w:val="clear" w:color="auto" w:fill="auto"/>
            <w:vAlign w:val="center"/>
          </w:tcPr>
          <w:p w14:paraId="1E0217AF">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78F6C225">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18919592">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17</w:t>
            </w:r>
          </w:p>
        </w:tc>
        <w:tc>
          <w:tcPr>
            <w:tcW w:w="1720" w:type="pct"/>
            <w:shd w:val="clear" w:color="auto" w:fill="auto"/>
            <w:vAlign w:val="center"/>
          </w:tcPr>
          <w:p w14:paraId="4B21248F">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无锡诚佳诚商贸有限公司</w:t>
            </w:r>
          </w:p>
        </w:tc>
        <w:tc>
          <w:tcPr>
            <w:tcW w:w="1054" w:type="pct"/>
            <w:shd w:val="clear" w:color="auto" w:fill="auto"/>
            <w:vAlign w:val="center"/>
          </w:tcPr>
          <w:p w14:paraId="5AE6D0F3">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17,602,829</w:t>
            </w:r>
          </w:p>
        </w:tc>
        <w:tc>
          <w:tcPr>
            <w:tcW w:w="1054" w:type="pct"/>
            <w:shd w:val="clear" w:color="auto" w:fill="auto"/>
            <w:vAlign w:val="center"/>
          </w:tcPr>
          <w:p w14:paraId="7A4CB08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17,602,829</w:t>
            </w:r>
          </w:p>
        </w:tc>
        <w:tc>
          <w:tcPr>
            <w:tcW w:w="880" w:type="pct"/>
            <w:shd w:val="clear" w:color="auto" w:fill="auto"/>
            <w:vAlign w:val="center"/>
          </w:tcPr>
          <w:p w14:paraId="6B1C4942">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643C84D9">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4CFAEDA1">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18</w:t>
            </w:r>
          </w:p>
        </w:tc>
        <w:tc>
          <w:tcPr>
            <w:tcW w:w="1720" w:type="pct"/>
            <w:shd w:val="clear" w:color="auto" w:fill="auto"/>
            <w:vAlign w:val="center"/>
          </w:tcPr>
          <w:p w14:paraId="5B49868D">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西安厦裕地产顾问有限公司</w:t>
            </w:r>
          </w:p>
        </w:tc>
        <w:tc>
          <w:tcPr>
            <w:tcW w:w="1054" w:type="pct"/>
            <w:shd w:val="clear" w:color="auto" w:fill="auto"/>
            <w:vAlign w:val="center"/>
          </w:tcPr>
          <w:p w14:paraId="37C5C77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19,949,873</w:t>
            </w:r>
          </w:p>
        </w:tc>
        <w:tc>
          <w:tcPr>
            <w:tcW w:w="1054" w:type="pct"/>
            <w:shd w:val="clear" w:color="auto" w:fill="auto"/>
            <w:vAlign w:val="center"/>
          </w:tcPr>
          <w:p w14:paraId="1CA33CA2">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19,949,873</w:t>
            </w:r>
          </w:p>
        </w:tc>
        <w:tc>
          <w:tcPr>
            <w:tcW w:w="880" w:type="pct"/>
            <w:shd w:val="clear" w:color="auto" w:fill="auto"/>
            <w:vAlign w:val="center"/>
          </w:tcPr>
          <w:p w14:paraId="3D59C86D">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62619B1D">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587EB208">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19</w:t>
            </w:r>
          </w:p>
        </w:tc>
        <w:tc>
          <w:tcPr>
            <w:tcW w:w="1720" w:type="pct"/>
            <w:shd w:val="clear" w:color="auto" w:fill="auto"/>
            <w:vAlign w:val="center"/>
          </w:tcPr>
          <w:p w14:paraId="2F09D294">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上海铭志慧新能源合伙企业（有限合伙）</w:t>
            </w:r>
          </w:p>
        </w:tc>
        <w:tc>
          <w:tcPr>
            <w:tcW w:w="1054" w:type="pct"/>
            <w:shd w:val="clear" w:color="auto" w:fill="auto"/>
            <w:vAlign w:val="center"/>
          </w:tcPr>
          <w:p w14:paraId="0DC9D30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35,247,193</w:t>
            </w:r>
          </w:p>
        </w:tc>
        <w:tc>
          <w:tcPr>
            <w:tcW w:w="1054" w:type="pct"/>
            <w:shd w:val="clear" w:color="auto" w:fill="auto"/>
            <w:vAlign w:val="center"/>
          </w:tcPr>
          <w:p w14:paraId="1D9B5E5F">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35,247,193</w:t>
            </w:r>
          </w:p>
        </w:tc>
        <w:tc>
          <w:tcPr>
            <w:tcW w:w="880" w:type="pct"/>
            <w:shd w:val="clear" w:color="auto" w:fill="auto"/>
            <w:vAlign w:val="center"/>
          </w:tcPr>
          <w:p w14:paraId="6C801E8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72C9E595">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240DE90A">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20</w:t>
            </w:r>
          </w:p>
        </w:tc>
        <w:tc>
          <w:tcPr>
            <w:tcW w:w="1720" w:type="pct"/>
            <w:shd w:val="clear" w:color="auto" w:fill="auto"/>
            <w:vAlign w:val="center"/>
          </w:tcPr>
          <w:p w14:paraId="33563A01">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中国中信金融资产管理股份有限公司</w:t>
            </w:r>
          </w:p>
        </w:tc>
        <w:tc>
          <w:tcPr>
            <w:tcW w:w="1054" w:type="pct"/>
            <w:shd w:val="clear" w:color="auto" w:fill="auto"/>
            <w:vAlign w:val="center"/>
          </w:tcPr>
          <w:p w14:paraId="4A6442E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2,400,000</w:t>
            </w:r>
          </w:p>
        </w:tc>
        <w:tc>
          <w:tcPr>
            <w:tcW w:w="1054" w:type="pct"/>
            <w:shd w:val="clear" w:color="auto" w:fill="auto"/>
            <w:vAlign w:val="center"/>
          </w:tcPr>
          <w:p w14:paraId="705027F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2,400,000</w:t>
            </w:r>
          </w:p>
        </w:tc>
        <w:tc>
          <w:tcPr>
            <w:tcW w:w="880" w:type="pct"/>
            <w:shd w:val="clear" w:color="auto" w:fill="auto"/>
            <w:vAlign w:val="center"/>
          </w:tcPr>
          <w:p w14:paraId="4E1AEFCC">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61C7C65D">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4B0F8883">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21</w:t>
            </w:r>
          </w:p>
        </w:tc>
        <w:tc>
          <w:tcPr>
            <w:tcW w:w="1720" w:type="pct"/>
            <w:shd w:val="clear" w:color="auto" w:fill="auto"/>
            <w:vAlign w:val="center"/>
          </w:tcPr>
          <w:p w14:paraId="091F59AD">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江苏江南商贸集团有限责任公司</w:t>
            </w:r>
          </w:p>
        </w:tc>
        <w:tc>
          <w:tcPr>
            <w:tcW w:w="1054" w:type="pct"/>
            <w:shd w:val="clear" w:color="auto" w:fill="auto"/>
            <w:vAlign w:val="center"/>
          </w:tcPr>
          <w:p w14:paraId="35506E7E">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14,785,992</w:t>
            </w:r>
          </w:p>
        </w:tc>
        <w:tc>
          <w:tcPr>
            <w:tcW w:w="1054" w:type="pct"/>
            <w:shd w:val="clear" w:color="auto" w:fill="auto"/>
            <w:vAlign w:val="center"/>
          </w:tcPr>
          <w:p w14:paraId="3F5B328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14,785,992</w:t>
            </w:r>
          </w:p>
        </w:tc>
        <w:tc>
          <w:tcPr>
            <w:tcW w:w="880" w:type="pct"/>
            <w:shd w:val="clear" w:color="auto" w:fill="auto"/>
            <w:vAlign w:val="center"/>
          </w:tcPr>
          <w:p w14:paraId="28AD64D8">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547EA092">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7C8CD8FD">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22</w:t>
            </w:r>
          </w:p>
        </w:tc>
        <w:tc>
          <w:tcPr>
            <w:tcW w:w="1720" w:type="pct"/>
            <w:shd w:val="clear" w:color="auto" w:fill="auto"/>
            <w:vAlign w:val="center"/>
          </w:tcPr>
          <w:p w14:paraId="09D0B190">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苏州沙家浜旅游发展有限公司</w:t>
            </w:r>
          </w:p>
        </w:tc>
        <w:tc>
          <w:tcPr>
            <w:tcW w:w="1054" w:type="pct"/>
            <w:shd w:val="clear" w:color="auto" w:fill="auto"/>
            <w:vAlign w:val="center"/>
          </w:tcPr>
          <w:p w14:paraId="1289EE7F">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31,863,813</w:t>
            </w:r>
          </w:p>
        </w:tc>
        <w:tc>
          <w:tcPr>
            <w:tcW w:w="1054" w:type="pct"/>
            <w:shd w:val="clear" w:color="auto" w:fill="auto"/>
            <w:vAlign w:val="center"/>
          </w:tcPr>
          <w:p w14:paraId="1B977823">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31,863,813</w:t>
            </w:r>
          </w:p>
        </w:tc>
        <w:tc>
          <w:tcPr>
            <w:tcW w:w="880" w:type="pct"/>
            <w:shd w:val="clear" w:color="auto" w:fill="auto"/>
            <w:vAlign w:val="center"/>
          </w:tcPr>
          <w:p w14:paraId="1CE8A65E">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0D7CB934">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76A10C56">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23</w:t>
            </w:r>
          </w:p>
        </w:tc>
        <w:tc>
          <w:tcPr>
            <w:tcW w:w="1720" w:type="pct"/>
            <w:shd w:val="clear" w:color="auto" w:fill="auto"/>
            <w:vAlign w:val="center"/>
          </w:tcPr>
          <w:p w14:paraId="2EBDB0D8">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中国东方资产管理股份有限公司</w:t>
            </w:r>
          </w:p>
        </w:tc>
        <w:tc>
          <w:tcPr>
            <w:tcW w:w="1054" w:type="pct"/>
            <w:shd w:val="clear" w:color="auto" w:fill="auto"/>
            <w:vAlign w:val="center"/>
          </w:tcPr>
          <w:p w14:paraId="7A5CCF0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8,560,311</w:t>
            </w:r>
          </w:p>
        </w:tc>
        <w:tc>
          <w:tcPr>
            <w:tcW w:w="1054" w:type="pct"/>
            <w:shd w:val="clear" w:color="auto" w:fill="auto"/>
            <w:vAlign w:val="center"/>
          </w:tcPr>
          <w:p w14:paraId="61F546AF">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8,560,311</w:t>
            </w:r>
          </w:p>
        </w:tc>
        <w:tc>
          <w:tcPr>
            <w:tcW w:w="880" w:type="pct"/>
            <w:shd w:val="clear" w:color="auto" w:fill="auto"/>
            <w:vAlign w:val="center"/>
          </w:tcPr>
          <w:p w14:paraId="19A5A4EF">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04269239">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77C87B46">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24</w:t>
            </w:r>
          </w:p>
        </w:tc>
        <w:tc>
          <w:tcPr>
            <w:tcW w:w="1720" w:type="pct"/>
            <w:shd w:val="clear" w:color="auto" w:fill="auto"/>
            <w:vAlign w:val="center"/>
          </w:tcPr>
          <w:p w14:paraId="4EDAA8A3">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宁夏小牛自动化设备股份有限公司</w:t>
            </w:r>
          </w:p>
        </w:tc>
        <w:tc>
          <w:tcPr>
            <w:tcW w:w="1054" w:type="pct"/>
            <w:shd w:val="clear" w:color="auto" w:fill="auto"/>
            <w:vAlign w:val="center"/>
          </w:tcPr>
          <w:p w14:paraId="215A109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4,685,776</w:t>
            </w:r>
          </w:p>
        </w:tc>
        <w:tc>
          <w:tcPr>
            <w:tcW w:w="1054" w:type="pct"/>
            <w:shd w:val="clear" w:color="auto" w:fill="auto"/>
            <w:vAlign w:val="center"/>
          </w:tcPr>
          <w:p w14:paraId="1777D5F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4,685,776</w:t>
            </w:r>
          </w:p>
        </w:tc>
        <w:tc>
          <w:tcPr>
            <w:tcW w:w="880" w:type="pct"/>
            <w:shd w:val="clear" w:color="auto" w:fill="auto"/>
            <w:vAlign w:val="center"/>
          </w:tcPr>
          <w:p w14:paraId="6B57FB22">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3A124CE8">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5C736DB6">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25</w:t>
            </w:r>
          </w:p>
        </w:tc>
        <w:tc>
          <w:tcPr>
            <w:tcW w:w="1720" w:type="pct"/>
            <w:shd w:val="clear" w:color="auto" w:fill="auto"/>
            <w:vAlign w:val="center"/>
          </w:tcPr>
          <w:p w14:paraId="196B0A53">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庄骁丹</w:t>
            </w:r>
          </w:p>
        </w:tc>
        <w:tc>
          <w:tcPr>
            <w:tcW w:w="1054" w:type="pct"/>
            <w:shd w:val="clear" w:color="auto" w:fill="auto"/>
            <w:vAlign w:val="center"/>
          </w:tcPr>
          <w:p w14:paraId="68254227">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275,280</w:t>
            </w:r>
          </w:p>
        </w:tc>
        <w:tc>
          <w:tcPr>
            <w:tcW w:w="1054" w:type="pct"/>
            <w:shd w:val="clear" w:color="auto" w:fill="auto"/>
            <w:vAlign w:val="center"/>
          </w:tcPr>
          <w:p w14:paraId="3C4DDBA9">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275,280</w:t>
            </w:r>
          </w:p>
        </w:tc>
        <w:tc>
          <w:tcPr>
            <w:tcW w:w="880" w:type="pct"/>
            <w:shd w:val="clear" w:color="auto" w:fill="auto"/>
            <w:vAlign w:val="center"/>
          </w:tcPr>
          <w:p w14:paraId="11F0B6C4">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是，冻结275,280股</w:t>
            </w:r>
          </w:p>
        </w:tc>
      </w:tr>
      <w:tr w14:paraId="0DEC487B">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6F4DE9F1">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26</w:t>
            </w:r>
          </w:p>
        </w:tc>
        <w:tc>
          <w:tcPr>
            <w:tcW w:w="1720" w:type="pct"/>
            <w:shd w:val="clear" w:color="auto" w:fill="auto"/>
            <w:vAlign w:val="center"/>
          </w:tcPr>
          <w:p w14:paraId="4045F289">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吴敏杰</w:t>
            </w:r>
          </w:p>
        </w:tc>
        <w:tc>
          <w:tcPr>
            <w:tcW w:w="1054" w:type="pct"/>
            <w:shd w:val="clear" w:color="auto" w:fill="auto"/>
            <w:vAlign w:val="center"/>
          </w:tcPr>
          <w:p w14:paraId="46FC4A19">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5,713,307</w:t>
            </w:r>
          </w:p>
        </w:tc>
        <w:tc>
          <w:tcPr>
            <w:tcW w:w="1054" w:type="pct"/>
            <w:shd w:val="clear" w:color="auto" w:fill="auto"/>
            <w:vAlign w:val="center"/>
          </w:tcPr>
          <w:p w14:paraId="2990201F">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5,713,307</w:t>
            </w:r>
          </w:p>
        </w:tc>
        <w:tc>
          <w:tcPr>
            <w:tcW w:w="880" w:type="pct"/>
            <w:shd w:val="clear" w:color="auto" w:fill="auto"/>
            <w:vAlign w:val="center"/>
          </w:tcPr>
          <w:p w14:paraId="192CFC09">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7236BEE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5C3577E5">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27</w:t>
            </w:r>
          </w:p>
        </w:tc>
        <w:tc>
          <w:tcPr>
            <w:tcW w:w="1720" w:type="pct"/>
            <w:shd w:val="clear" w:color="auto" w:fill="auto"/>
            <w:vAlign w:val="center"/>
          </w:tcPr>
          <w:p w14:paraId="31E52E52">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王军</w:t>
            </w:r>
          </w:p>
        </w:tc>
        <w:tc>
          <w:tcPr>
            <w:tcW w:w="1054" w:type="pct"/>
            <w:shd w:val="clear" w:color="auto" w:fill="auto"/>
            <w:vAlign w:val="center"/>
          </w:tcPr>
          <w:p w14:paraId="075FF1D3">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216,581</w:t>
            </w:r>
          </w:p>
        </w:tc>
        <w:tc>
          <w:tcPr>
            <w:tcW w:w="1054" w:type="pct"/>
            <w:shd w:val="clear" w:color="auto" w:fill="auto"/>
            <w:vAlign w:val="center"/>
          </w:tcPr>
          <w:p w14:paraId="334BB08D">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216,581</w:t>
            </w:r>
          </w:p>
        </w:tc>
        <w:tc>
          <w:tcPr>
            <w:tcW w:w="880" w:type="pct"/>
            <w:shd w:val="clear" w:color="auto" w:fill="auto"/>
            <w:vAlign w:val="center"/>
          </w:tcPr>
          <w:p w14:paraId="79C0DD6C">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是，冻结216,581股</w:t>
            </w:r>
          </w:p>
        </w:tc>
      </w:tr>
      <w:tr w14:paraId="5617068E">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20C94D16">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28</w:t>
            </w:r>
          </w:p>
        </w:tc>
        <w:tc>
          <w:tcPr>
            <w:tcW w:w="1720" w:type="pct"/>
            <w:shd w:val="clear" w:color="auto" w:fill="auto"/>
            <w:vAlign w:val="center"/>
          </w:tcPr>
          <w:p w14:paraId="38BF619D">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沈健</w:t>
            </w:r>
          </w:p>
        </w:tc>
        <w:tc>
          <w:tcPr>
            <w:tcW w:w="1054" w:type="pct"/>
            <w:shd w:val="clear" w:color="auto" w:fill="auto"/>
            <w:vAlign w:val="center"/>
          </w:tcPr>
          <w:p w14:paraId="37ECB8D8">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1,292,782</w:t>
            </w:r>
          </w:p>
        </w:tc>
        <w:tc>
          <w:tcPr>
            <w:tcW w:w="1054" w:type="pct"/>
            <w:shd w:val="clear" w:color="auto" w:fill="auto"/>
            <w:vAlign w:val="center"/>
          </w:tcPr>
          <w:p w14:paraId="59F24A34">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1,292,782</w:t>
            </w:r>
          </w:p>
        </w:tc>
        <w:tc>
          <w:tcPr>
            <w:tcW w:w="880" w:type="pct"/>
            <w:shd w:val="clear" w:color="auto" w:fill="auto"/>
            <w:vAlign w:val="center"/>
          </w:tcPr>
          <w:p w14:paraId="3F1592B8">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是，冻结1</w:t>
            </w:r>
            <w:r>
              <w:rPr>
                <w:rFonts w:ascii="Times New Roman" w:hAnsi="Times New Roman" w:eastAsia="宋体"/>
                <w:b w:val="0"/>
                <w:color w:val="000000"/>
                <w:sz w:val="21"/>
              </w:rPr>
              <w:t>,</w:t>
            </w:r>
            <w:r>
              <w:rPr>
                <w:rFonts w:hint="eastAsia" w:ascii="Times New Roman" w:hAnsi="Times New Roman" w:eastAsia="宋体"/>
                <w:b w:val="0"/>
                <w:color w:val="000000"/>
                <w:sz w:val="21"/>
              </w:rPr>
              <w:t>292,782股</w:t>
            </w:r>
          </w:p>
        </w:tc>
      </w:tr>
      <w:tr w14:paraId="33DDBCA6">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65940371">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29</w:t>
            </w:r>
          </w:p>
        </w:tc>
        <w:tc>
          <w:tcPr>
            <w:tcW w:w="1720" w:type="pct"/>
            <w:shd w:val="clear" w:color="auto" w:fill="auto"/>
            <w:vAlign w:val="center"/>
          </w:tcPr>
          <w:p w14:paraId="23B6831F">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张丽洁</w:t>
            </w:r>
          </w:p>
        </w:tc>
        <w:tc>
          <w:tcPr>
            <w:tcW w:w="1054" w:type="pct"/>
            <w:shd w:val="clear" w:color="auto" w:fill="auto"/>
            <w:vAlign w:val="center"/>
          </w:tcPr>
          <w:p w14:paraId="73BE2F09">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175,092</w:t>
            </w:r>
          </w:p>
        </w:tc>
        <w:tc>
          <w:tcPr>
            <w:tcW w:w="1054" w:type="pct"/>
            <w:shd w:val="clear" w:color="auto" w:fill="auto"/>
            <w:vAlign w:val="center"/>
          </w:tcPr>
          <w:p w14:paraId="577AAFAB">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175,092</w:t>
            </w:r>
          </w:p>
        </w:tc>
        <w:tc>
          <w:tcPr>
            <w:tcW w:w="880" w:type="pct"/>
            <w:shd w:val="clear" w:color="auto" w:fill="auto"/>
            <w:vAlign w:val="center"/>
          </w:tcPr>
          <w:p w14:paraId="18B20FE3">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787982A3">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90" w:type="pct"/>
            <w:shd w:val="clear" w:color="auto" w:fill="auto"/>
            <w:vAlign w:val="center"/>
          </w:tcPr>
          <w:p w14:paraId="6A4027E9">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30</w:t>
            </w:r>
          </w:p>
        </w:tc>
        <w:tc>
          <w:tcPr>
            <w:tcW w:w="1720" w:type="pct"/>
            <w:shd w:val="clear" w:color="auto" w:fill="auto"/>
            <w:vAlign w:val="center"/>
          </w:tcPr>
          <w:p w14:paraId="1C641183">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兰世全</w:t>
            </w:r>
          </w:p>
        </w:tc>
        <w:tc>
          <w:tcPr>
            <w:tcW w:w="1054" w:type="pct"/>
            <w:shd w:val="clear" w:color="auto" w:fill="auto"/>
            <w:vAlign w:val="center"/>
          </w:tcPr>
          <w:p w14:paraId="19E2B6C1">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400,134</w:t>
            </w:r>
          </w:p>
        </w:tc>
        <w:tc>
          <w:tcPr>
            <w:tcW w:w="1054" w:type="pct"/>
            <w:shd w:val="clear" w:color="auto" w:fill="auto"/>
            <w:vAlign w:val="center"/>
          </w:tcPr>
          <w:p w14:paraId="7C5F88BA">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400,134</w:t>
            </w:r>
          </w:p>
        </w:tc>
        <w:tc>
          <w:tcPr>
            <w:tcW w:w="880" w:type="pct"/>
            <w:shd w:val="clear" w:color="auto" w:fill="auto"/>
            <w:vAlign w:val="center"/>
          </w:tcPr>
          <w:p w14:paraId="780D319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否</w:t>
            </w:r>
          </w:p>
        </w:tc>
      </w:tr>
      <w:tr w14:paraId="7E730BD3">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2011" w:type="pct"/>
            <w:gridSpan w:val="2"/>
            <w:shd w:val="clear" w:color="auto" w:fill="auto"/>
            <w:vAlign w:val="center"/>
          </w:tcPr>
          <w:p w14:paraId="0BDBBAAB">
            <w:pPr>
              <w:bidi w:val="0"/>
              <w:spacing w:beforeAutospacing="0" w:afterAutospacing="0" w:line="240" w:lineRule="auto"/>
              <w:ind w:left="0" w:leftChars="0" w:right="0" w:rightChars="0" w:firstLine="0" w:firstLineChars="0"/>
              <w:jc w:val="center"/>
              <w:rPr>
                <w:rFonts w:hint="eastAsia" w:ascii="Times New Roman" w:hAnsi="Times New Roman" w:eastAsia="宋体"/>
                <w:b/>
                <w:color w:val="000000"/>
                <w:sz w:val="21"/>
              </w:rPr>
            </w:pPr>
            <w:r>
              <w:rPr>
                <w:rFonts w:hint="eastAsia" w:ascii="Times New Roman" w:hAnsi="Times New Roman" w:eastAsia="宋体"/>
                <w:b/>
                <w:color w:val="000000"/>
                <w:sz w:val="21"/>
              </w:rPr>
              <w:t>合计</w:t>
            </w:r>
          </w:p>
        </w:tc>
        <w:tc>
          <w:tcPr>
            <w:tcW w:w="1054" w:type="pct"/>
            <w:shd w:val="clear" w:color="auto" w:fill="auto"/>
            <w:vAlign w:val="center"/>
          </w:tcPr>
          <w:p w14:paraId="0794EA19">
            <w:pPr>
              <w:bidi w:val="0"/>
              <w:spacing w:beforeAutospacing="0" w:afterAutospacing="0" w:line="240" w:lineRule="auto"/>
              <w:ind w:left="0" w:leftChars="0" w:right="0" w:rightChars="0" w:firstLine="0" w:firstLineChars="0"/>
              <w:jc w:val="right"/>
              <w:rPr>
                <w:rFonts w:hint="eastAsia" w:ascii="Times New Roman" w:hAnsi="Times New Roman" w:eastAsia="宋体"/>
                <w:b/>
                <w:color w:val="000000"/>
                <w:sz w:val="21"/>
              </w:rPr>
            </w:pPr>
            <w:r>
              <w:rPr>
                <w:rFonts w:ascii="Times New Roman" w:hAnsi="Times New Roman" w:eastAsia="宋体"/>
                <w:b/>
                <w:color w:val="000000"/>
                <w:sz w:val="21"/>
              </w:rPr>
              <w:fldChar w:fldCharType="begin"/>
            </w:r>
            <w:r>
              <w:rPr>
                <w:rFonts w:ascii="Times New Roman" w:hAnsi="Times New Roman" w:eastAsia="宋体"/>
                <w:b/>
                <w:color w:val="000000"/>
                <w:sz w:val="21"/>
              </w:rPr>
              <w:instrText xml:space="preserve"> =SUM(ABOVE) </w:instrText>
            </w:r>
            <w:r>
              <w:rPr>
                <w:rFonts w:ascii="Times New Roman" w:hAnsi="Times New Roman" w:eastAsia="宋体"/>
                <w:b/>
                <w:color w:val="000000"/>
                <w:sz w:val="21"/>
              </w:rPr>
              <w:fldChar w:fldCharType="separate"/>
            </w:r>
            <w:r>
              <w:rPr>
                <w:rFonts w:ascii="Times New Roman" w:hAnsi="Times New Roman" w:eastAsia="宋体"/>
                <w:b/>
                <w:color w:val="000000"/>
                <w:sz w:val="21"/>
              </w:rPr>
              <w:t>1,107,065,194</w:t>
            </w:r>
            <w:r>
              <w:rPr>
                <w:rFonts w:ascii="Times New Roman" w:hAnsi="Times New Roman" w:eastAsia="宋体"/>
                <w:b/>
                <w:color w:val="000000"/>
                <w:sz w:val="21"/>
              </w:rPr>
              <w:fldChar w:fldCharType="end"/>
            </w:r>
          </w:p>
        </w:tc>
        <w:tc>
          <w:tcPr>
            <w:tcW w:w="1054" w:type="pct"/>
            <w:shd w:val="clear" w:color="auto" w:fill="auto"/>
            <w:vAlign w:val="center"/>
          </w:tcPr>
          <w:p w14:paraId="76E5687E">
            <w:pPr>
              <w:bidi w:val="0"/>
              <w:spacing w:beforeAutospacing="0" w:afterAutospacing="0" w:line="240" w:lineRule="auto"/>
              <w:ind w:left="0" w:leftChars="0" w:right="0" w:rightChars="0" w:firstLine="0" w:firstLineChars="0"/>
              <w:jc w:val="right"/>
              <w:rPr>
                <w:rFonts w:hint="eastAsia" w:ascii="Times New Roman" w:hAnsi="Times New Roman" w:eastAsia="宋体"/>
                <w:b/>
                <w:color w:val="000000"/>
                <w:sz w:val="21"/>
              </w:rPr>
            </w:pPr>
            <w:r>
              <w:rPr>
                <w:rFonts w:ascii="Times New Roman" w:hAnsi="Times New Roman" w:eastAsia="宋体"/>
                <w:b/>
                <w:color w:val="000000"/>
                <w:sz w:val="21"/>
              </w:rPr>
              <w:fldChar w:fldCharType="begin"/>
            </w:r>
            <w:r>
              <w:rPr>
                <w:rFonts w:ascii="Times New Roman" w:hAnsi="Times New Roman" w:eastAsia="宋体"/>
                <w:b/>
                <w:color w:val="000000"/>
                <w:sz w:val="21"/>
              </w:rPr>
              <w:instrText xml:space="preserve"> =SUM(ABOVE) </w:instrText>
            </w:r>
            <w:r>
              <w:rPr>
                <w:rFonts w:ascii="Times New Roman" w:hAnsi="Times New Roman" w:eastAsia="宋体"/>
                <w:b/>
                <w:color w:val="000000"/>
                <w:sz w:val="21"/>
              </w:rPr>
              <w:fldChar w:fldCharType="separate"/>
            </w:r>
            <w:r>
              <w:rPr>
                <w:rFonts w:ascii="Times New Roman" w:hAnsi="Times New Roman" w:eastAsia="宋体"/>
                <w:b/>
                <w:color w:val="000000"/>
                <w:sz w:val="21"/>
              </w:rPr>
              <w:t>1,107,065,194</w:t>
            </w:r>
            <w:r>
              <w:rPr>
                <w:rFonts w:ascii="Times New Roman" w:hAnsi="Times New Roman" w:eastAsia="宋体"/>
                <w:b/>
                <w:color w:val="000000"/>
                <w:sz w:val="21"/>
              </w:rPr>
              <w:fldChar w:fldCharType="end"/>
            </w:r>
          </w:p>
        </w:tc>
        <w:tc>
          <w:tcPr>
            <w:tcW w:w="880" w:type="pct"/>
            <w:shd w:val="clear" w:color="auto" w:fill="auto"/>
            <w:vAlign w:val="center"/>
          </w:tcPr>
          <w:p w14:paraId="59E69871">
            <w:pPr>
              <w:bidi w:val="0"/>
              <w:spacing w:beforeAutospacing="0" w:afterAutospacing="0" w:line="240" w:lineRule="auto"/>
              <w:ind w:left="0" w:leftChars="0" w:right="0" w:rightChars="0" w:firstLine="0" w:firstLineChars="0"/>
              <w:rPr>
                <w:rFonts w:hint="eastAsia" w:ascii="Times New Roman" w:hAnsi="Times New Roman" w:eastAsia="宋体"/>
                <w:b/>
                <w:color w:val="000000"/>
                <w:sz w:val="21"/>
              </w:rPr>
            </w:pPr>
          </w:p>
        </w:tc>
      </w:tr>
    </w:tbl>
    <w:p w14:paraId="209423B6">
      <w:pPr>
        <w:pStyle w:val="3"/>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60" w:lineRule="auto"/>
        <w:ind w:firstLine="436" w:firstLineChars="200"/>
        <w:textAlignment w:val="baseline"/>
        <w:rPr>
          <w:sz w:val="20"/>
          <w:szCs w:val="20"/>
        </w:rPr>
      </w:pPr>
      <w:r>
        <w:rPr>
          <w:spacing w:val="9"/>
          <w:sz w:val="20"/>
          <w:szCs w:val="20"/>
        </w:rPr>
        <w:t>注：上表中数值若出现总数与各分项数值之和尾数不符，均为四舍五入原因所致。</w:t>
      </w:r>
    </w:p>
    <w:p w14:paraId="1B6B150A">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0" w:leftChars="0" w:firstLine="470" w:firstLineChars="200"/>
        <w:textAlignment w:val="baseline"/>
        <w:rPr>
          <w:b/>
          <w:bCs/>
          <w:spacing w:val="-3"/>
          <w:highlight w:val="none"/>
        </w:rPr>
      </w:pPr>
      <w:r>
        <w:rPr>
          <w:rFonts w:hint="eastAsia" w:cs="宋体"/>
          <w:b/>
          <w:bCs/>
          <w:snapToGrid w:val="0"/>
          <w:color w:val="000000"/>
          <w:spacing w:val="-3"/>
          <w:kern w:val="0"/>
          <w:sz w:val="24"/>
          <w:szCs w:val="24"/>
          <w:highlight w:val="none"/>
          <w:lang w:val="en-US" w:eastAsia="zh-CN" w:bidi="ar-SA"/>
        </w:rPr>
        <w:t>六</w:t>
      </w:r>
      <w:r>
        <w:rPr>
          <w:rFonts w:hint="eastAsia" w:ascii="宋体" w:hAnsi="宋体" w:eastAsia="宋体" w:cs="宋体"/>
          <w:b/>
          <w:bCs/>
          <w:snapToGrid w:val="0"/>
          <w:color w:val="000000"/>
          <w:spacing w:val="-3"/>
          <w:kern w:val="0"/>
          <w:sz w:val="24"/>
          <w:szCs w:val="24"/>
          <w:highlight w:val="none"/>
          <w:lang w:val="en-US" w:eastAsia="en-US" w:bidi="ar-SA"/>
        </w:rPr>
        <w:t>、</w:t>
      </w:r>
      <w:r>
        <w:rPr>
          <w:b/>
          <w:bCs/>
          <w:spacing w:val="-3"/>
          <w:highlight w:val="none"/>
        </w:rPr>
        <w:t>本次解除限售前后上市公司的股本结构</w:t>
      </w:r>
    </w:p>
    <w:p w14:paraId="0E04B1D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Chars="200"/>
        <w:jc w:val="both"/>
        <w:textAlignment w:val="baseline"/>
        <w:rPr>
          <w:spacing w:val="-1"/>
        </w:rPr>
      </w:pPr>
      <w:r>
        <w:rPr>
          <w:spacing w:val="-1"/>
        </w:rPr>
        <w:t>本次限售股份上市流通前后，公司股本结构的变化情况如下：</w:t>
      </w:r>
    </w:p>
    <w:tbl>
      <w:tblPr>
        <w:tblStyle w:val="5"/>
        <w:tblW w:w="5000"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Layout w:type="fixed"/>
        <w:tblCellMar>
          <w:top w:w="0" w:type="dxa"/>
          <w:left w:w="108" w:type="dxa"/>
          <w:bottom w:w="0" w:type="dxa"/>
          <w:right w:w="108" w:type="dxa"/>
        </w:tblCellMar>
      </w:tblPr>
      <w:tblGrid>
        <w:gridCol w:w="1946"/>
        <w:gridCol w:w="1439"/>
        <w:gridCol w:w="1000"/>
        <w:gridCol w:w="1707"/>
        <w:gridCol w:w="1439"/>
        <w:gridCol w:w="997"/>
      </w:tblGrid>
      <w:tr w14:paraId="63AD7473">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tblHeader/>
          <w:jc w:val="center"/>
        </w:trPr>
        <w:tc>
          <w:tcPr>
            <w:tcW w:w="1140" w:type="pct"/>
            <w:vMerge w:val="restart"/>
            <w:shd w:val="clear" w:color="auto" w:fill="auto"/>
            <w:noWrap/>
            <w:vAlign w:val="center"/>
          </w:tcPr>
          <w:p w14:paraId="47614B3A">
            <w:pPr>
              <w:keepNext/>
              <w:bidi w:val="0"/>
              <w:spacing w:beforeAutospacing="0" w:afterAutospacing="0" w:line="240" w:lineRule="auto"/>
              <w:ind w:left="0" w:leftChars="0" w:right="0" w:rightChars="0" w:firstLine="0" w:firstLineChars="0"/>
              <w:jc w:val="center"/>
              <w:rPr>
                <w:rFonts w:hint="eastAsia" w:ascii="Times New Roman" w:hAnsi="Times New Roman" w:eastAsia="宋体"/>
                <w:b/>
                <w:bCs w:val="0"/>
                <w:color w:val="000000"/>
                <w:sz w:val="21"/>
              </w:rPr>
            </w:pPr>
            <w:r>
              <w:rPr>
                <w:rFonts w:hint="eastAsia" w:ascii="Times New Roman" w:hAnsi="Times New Roman" w:eastAsia="宋体"/>
                <w:b/>
                <w:bCs w:val="0"/>
                <w:color w:val="000000"/>
                <w:sz w:val="21"/>
              </w:rPr>
              <w:t>股份类型</w:t>
            </w:r>
          </w:p>
        </w:tc>
        <w:tc>
          <w:tcPr>
            <w:tcW w:w="1429" w:type="pct"/>
            <w:gridSpan w:val="2"/>
            <w:shd w:val="clear" w:color="auto" w:fill="auto"/>
            <w:noWrap/>
            <w:vAlign w:val="center"/>
          </w:tcPr>
          <w:p w14:paraId="7A8FD572">
            <w:pPr>
              <w:keepNext/>
              <w:bidi w:val="0"/>
              <w:spacing w:beforeAutospacing="0" w:afterAutospacing="0" w:line="240" w:lineRule="auto"/>
              <w:ind w:left="0" w:leftChars="0" w:right="0" w:rightChars="0" w:firstLine="0" w:firstLineChars="0"/>
              <w:jc w:val="center"/>
              <w:rPr>
                <w:rFonts w:hint="eastAsia" w:ascii="Times New Roman" w:hAnsi="Times New Roman" w:eastAsia="宋体"/>
                <w:b/>
                <w:bCs w:val="0"/>
                <w:color w:val="000000"/>
                <w:sz w:val="21"/>
              </w:rPr>
            </w:pPr>
            <w:r>
              <w:rPr>
                <w:rFonts w:hint="eastAsia" w:ascii="Times New Roman" w:hAnsi="Times New Roman" w:eastAsia="宋体"/>
                <w:b/>
                <w:bCs w:val="0"/>
                <w:color w:val="000000"/>
                <w:sz w:val="21"/>
              </w:rPr>
              <w:t>本次变动前</w:t>
            </w:r>
          </w:p>
        </w:tc>
        <w:tc>
          <w:tcPr>
            <w:tcW w:w="1000" w:type="pct"/>
            <w:vMerge w:val="restart"/>
            <w:shd w:val="clear" w:color="auto" w:fill="auto"/>
            <w:vAlign w:val="center"/>
          </w:tcPr>
          <w:p w14:paraId="7AFC6D66">
            <w:pPr>
              <w:keepNext/>
              <w:bidi w:val="0"/>
              <w:spacing w:beforeAutospacing="0" w:afterAutospacing="0" w:line="240" w:lineRule="auto"/>
              <w:ind w:left="0" w:leftChars="0" w:right="0" w:rightChars="0" w:firstLine="0" w:firstLineChars="0"/>
              <w:jc w:val="center"/>
              <w:rPr>
                <w:rFonts w:hint="eastAsia" w:ascii="Times New Roman" w:hAnsi="Times New Roman" w:eastAsia="宋体"/>
                <w:b/>
                <w:bCs w:val="0"/>
                <w:color w:val="000000"/>
                <w:sz w:val="21"/>
              </w:rPr>
            </w:pPr>
            <w:r>
              <w:rPr>
                <w:rFonts w:hint="eastAsia" w:ascii="Times New Roman" w:hAnsi="Times New Roman" w:eastAsia="宋体"/>
                <w:b/>
                <w:bCs w:val="0"/>
                <w:color w:val="000000"/>
                <w:sz w:val="21"/>
              </w:rPr>
              <w:t>本次变动（股）</w:t>
            </w:r>
          </w:p>
        </w:tc>
        <w:tc>
          <w:tcPr>
            <w:tcW w:w="1428" w:type="pct"/>
            <w:gridSpan w:val="2"/>
            <w:shd w:val="clear" w:color="auto" w:fill="auto"/>
            <w:noWrap/>
            <w:vAlign w:val="center"/>
          </w:tcPr>
          <w:p w14:paraId="40FDCCFA">
            <w:pPr>
              <w:keepNext/>
              <w:bidi w:val="0"/>
              <w:spacing w:beforeAutospacing="0" w:afterAutospacing="0" w:line="240" w:lineRule="auto"/>
              <w:ind w:left="0" w:leftChars="0" w:right="0" w:rightChars="0" w:firstLine="0" w:firstLineChars="0"/>
              <w:jc w:val="center"/>
              <w:rPr>
                <w:rFonts w:hint="eastAsia" w:ascii="Times New Roman" w:hAnsi="Times New Roman" w:eastAsia="宋体"/>
                <w:b/>
                <w:bCs w:val="0"/>
                <w:color w:val="000000"/>
                <w:sz w:val="21"/>
              </w:rPr>
            </w:pPr>
            <w:r>
              <w:rPr>
                <w:rFonts w:hint="eastAsia" w:ascii="Times New Roman" w:hAnsi="Times New Roman" w:eastAsia="宋体"/>
                <w:b/>
                <w:bCs w:val="0"/>
                <w:color w:val="000000"/>
                <w:sz w:val="21"/>
              </w:rPr>
              <w:t>本次变动后</w:t>
            </w:r>
          </w:p>
        </w:tc>
      </w:tr>
      <w:tr w14:paraId="6F907E45">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1140" w:type="pct"/>
            <w:vMerge w:val="continue"/>
            <w:shd w:val="clear" w:color="auto" w:fill="auto"/>
            <w:vAlign w:val="center"/>
          </w:tcPr>
          <w:p w14:paraId="1059539F">
            <w:pPr>
              <w:bidi w:val="0"/>
              <w:spacing w:beforeAutospacing="0" w:afterAutospacing="0" w:line="240" w:lineRule="auto"/>
              <w:ind w:left="0" w:leftChars="0" w:right="0" w:rightChars="0" w:firstLine="0" w:firstLineChars="0"/>
              <w:rPr>
                <w:rFonts w:hint="eastAsia" w:ascii="Times New Roman" w:hAnsi="Times New Roman" w:eastAsia="宋体"/>
                <w:b/>
                <w:bCs w:val="0"/>
                <w:color w:val="000000"/>
                <w:sz w:val="21"/>
              </w:rPr>
            </w:pPr>
          </w:p>
        </w:tc>
        <w:tc>
          <w:tcPr>
            <w:tcW w:w="843" w:type="pct"/>
            <w:shd w:val="clear" w:color="auto" w:fill="auto"/>
            <w:noWrap/>
            <w:vAlign w:val="center"/>
          </w:tcPr>
          <w:p w14:paraId="4DE9A732">
            <w:pPr>
              <w:bidi w:val="0"/>
              <w:spacing w:beforeAutospacing="0" w:afterAutospacing="0" w:line="240" w:lineRule="auto"/>
              <w:ind w:left="0" w:leftChars="0" w:right="0" w:rightChars="0" w:firstLine="0" w:firstLineChars="0"/>
              <w:rPr>
                <w:rFonts w:hint="eastAsia" w:ascii="Times New Roman" w:hAnsi="Times New Roman" w:eastAsia="宋体"/>
                <w:b/>
                <w:bCs w:val="0"/>
                <w:color w:val="000000"/>
                <w:sz w:val="21"/>
                <w:lang w:eastAsia="zh-CN"/>
              </w:rPr>
            </w:pPr>
            <w:r>
              <w:rPr>
                <w:rFonts w:hint="eastAsia" w:ascii="Times New Roman" w:hAnsi="Times New Roman" w:eastAsia="宋体"/>
                <w:b/>
                <w:bCs w:val="0"/>
                <w:color w:val="000000"/>
                <w:sz w:val="21"/>
              </w:rPr>
              <w:t>数量（股）</w:t>
            </w:r>
          </w:p>
        </w:tc>
        <w:tc>
          <w:tcPr>
            <w:tcW w:w="586" w:type="pct"/>
            <w:shd w:val="clear" w:color="auto" w:fill="auto"/>
            <w:noWrap/>
            <w:vAlign w:val="center"/>
          </w:tcPr>
          <w:p w14:paraId="17BFF7FE">
            <w:pPr>
              <w:bidi w:val="0"/>
              <w:spacing w:beforeAutospacing="0" w:afterAutospacing="0" w:line="240" w:lineRule="auto"/>
              <w:ind w:left="0" w:leftChars="0" w:right="0" w:rightChars="0" w:firstLine="0" w:firstLineChars="0"/>
              <w:rPr>
                <w:rFonts w:hint="eastAsia" w:ascii="Times New Roman" w:hAnsi="Times New Roman" w:eastAsia="宋体"/>
                <w:b/>
                <w:bCs w:val="0"/>
                <w:color w:val="000000"/>
                <w:sz w:val="21"/>
              </w:rPr>
            </w:pPr>
            <w:r>
              <w:rPr>
                <w:rFonts w:hint="eastAsia" w:ascii="Times New Roman" w:hAnsi="Times New Roman" w:eastAsia="宋体"/>
                <w:b/>
                <w:bCs w:val="0"/>
                <w:color w:val="000000"/>
                <w:sz w:val="21"/>
              </w:rPr>
              <w:t>占总股本比例</w:t>
            </w:r>
          </w:p>
        </w:tc>
        <w:tc>
          <w:tcPr>
            <w:tcW w:w="1000" w:type="pct"/>
            <w:vMerge w:val="continue"/>
            <w:shd w:val="clear" w:color="auto" w:fill="auto"/>
            <w:vAlign w:val="center"/>
          </w:tcPr>
          <w:p w14:paraId="3A99820C">
            <w:pPr>
              <w:bidi w:val="0"/>
              <w:spacing w:beforeAutospacing="0" w:afterAutospacing="0" w:line="240" w:lineRule="auto"/>
              <w:ind w:left="0" w:leftChars="0" w:right="0" w:rightChars="0" w:firstLine="0" w:firstLineChars="0"/>
              <w:rPr>
                <w:rFonts w:hint="eastAsia" w:ascii="Times New Roman" w:hAnsi="Times New Roman" w:eastAsia="宋体"/>
                <w:b/>
                <w:bCs w:val="0"/>
                <w:color w:val="000000"/>
                <w:sz w:val="21"/>
              </w:rPr>
            </w:pPr>
          </w:p>
        </w:tc>
        <w:tc>
          <w:tcPr>
            <w:tcW w:w="843" w:type="pct"/>
            <w:shd w:val="clear" w:color="auto" w:fill="auto"/>
            <w:noWrap/>
            <w:vAlign w:val="center"/>
          </w:tcPr>
          <w:p w14:paraId="2E1ED7BC">
            <w:pPr>
              <w:bidi w:val="0"/>
              <w:spacing w:beforeAutospacing="0" w:afterAutospacing="0" w:line="240" w:lineRule="auto"/>
              <w:ind w:left="0" w:leftChars="0" w:right="0" w:rightChars="0" w:firstLine="0" w:firstLineChars="0"/>
              <w:rPr>
                <w:rFonts w:hint="eastAsia" w:ascii="Times New Roman" w:hAnsi="Times New Roman" w:eastAsia="宋体"/>
                <w:b/>
                <w:bCs w:val="0"/>
                <w:color w:val="000000"/>
                <w:sz w:val="21"/>
                <w:lang w:eastAsia="zh-CN"/>
              </w:rPr>
            </w:pPr>
            <w:r>
              <w:rPr>
                <w:rFonts w:hint="eastAsia" w:ascii="Times New Roman" w:hAnsi="Times New Roman" w:eastAsia="宋体"/>
                <w:b/>
                <w:bCs w:val="0"/>
                <w:color w:val="000000"/>
                <w:sz w:val="21"/>
              </w:rPr>
              <w:t>数量（股）</w:t>
            </w:r>
          </w:p>
        </w:tc>
        <w:tc>
          <w:tcPr>
            <w:tcW w:w="584" w:type="pct"/>
            <w:shd w:val="clear" w:color="auto" w:fill="auto"/>
            <w:noWrap/>
            <w:vAlign w:val="center"/>
          </w:tcPr>
          <w:p w14:paraId="704704CF">
            <w:pPr>
              <w:bidi w:val="0"/>
              <w:spacing w:beforeAutospacing="0" w:afterAutospacing="0" w:line="240" w:lineRule="auto"/>
              <w:ind w:left="0" w:leftChars="0" w:right="0" w:rightChars="0" w:firstLine="0" w:firstLineChars="0"/>
              <w:rPr>
                <w:rFonts w:hint="eastAsia" w:ascii="Times New Roman" w:hAnsi="Times New Roman" w:eastAsia="宋体"/>
                <w:b/>
                <w:bCs w:val="0"/>
                <w:color w:val="000000"/>
                <w:sz w:val="21"/>
              </w:rPr>
            </w:pPr>
            <w:r>
              <w:rPr>
                <w:rFonts w:hint="eastAsia" w:ascii="Times New Roman" w:hAnsi="Times New Roman" w:eastAsia="宋体"/>
                <w:b/>
                <w:bCs w:val="0"/>
                <w:color w:val="000000"/>
                <w:sz w:val="21"/>
              </w:rPr>
              <w:t>占总股本比例</w:t>
            </w:r>
          </w:p>
        </w:tc>
      </w:tr>
      <w:tr w14:paraId="202216C4">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1140" w:type="pct"/>
            <w:shd w:val="clear" w:color="auto" w:fill="auto"/>
            <w:noWrap/>
            <w:vAlign w:val="center"/>
          </w:tcPr>
          <w:p w14:paraId="15490DB0">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lang w:eastAsia="zh-CN"/>
              </w:rPr>
            </w:pPr>
            <w:r>
              <w:rPr>
                <w:rFonts w:hint="eastAsia" w:ascii="Times New Roman" w:hAnsi="Times New Roman" w:eastAsia="宋体"/>
                <w:b w:val="0"/>
                <w:color w:val="000000"/>
                <w:sz w:val="21"/>
              </w:rPr>
              <w:t>一、限售流通股</w:t>
            </w:r>
          </w:p>
        </w:tc>
        <w:tc>
          <w:tcPr>
            <w:tcW w:w="843" w:type="pct"/>
            <w:shd w:val="clear" w:color="auto" w:fill="auto"/>
            <w:noWrap/>
            <w:vAlign w:val="center"/>
          </w:tcPr>
          <w:p w14:paraId="2E9ECCB7">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1,792,043,508</w:t>
            </w:r>
          </w:p>
        </w:tc>
        <w:tc>
          <w:tcPr>
            <w:tcW w:w="586" w:type="pct"/>
            <w:shd w:val="clear" w:color="auto" w:fill="auto"/>
            <w:noWrap/>
            <w:vAlign w:val="center"/>
          </w:tcPr>
          <w:p w14:paraId="1D204FAA">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59.58%</w:t>
            </w:r>
          </w:p>
        </w:tc>
        <w:tc>
          <w:tcPr>
            <w:tcW w:w="1000" w:type="pct"/>
            <w:shd w:val="clear" w:color="auto" w:fill="auto"/>
            <w:noWrap/>
            <w:vAlign w:val="center"/>
          </w:tcPr>
          <w:p w14:paraId="7B9CF5A9">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w:t>
            </w:r>
            <w:r>
              <w:rPr>
                <w:rFonts w:ascii="Times New Roman" w:hAnsi="Times New Roman" w:eastAsia="宋体"/>
                <w:b w:val="0"/>
                <w:color w:val="000000"/>
                <w:sz w:val="21"/>
              </w:rPr>
              <w:t>1,107,065,194</w:t>
            </w:r>
          </w:p>
        </w:tc>
        <w:tc>
          <w:tcPr>
            <w:tcW w:w="843" w:type="pct"/>
            <w:shd w:val="clear" w:color="auto" w:fill="auto"/>
            <w:noWrap/>
            <w:vAlign w:val="center"/>
          </w:tcPr>
          <w:p w14:paraId="4F894A7B">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684,978,314</w:t>
            </w:r>
          </w:p>
        </w:tc>
        <w:tc>
          <w:tcPr>
            <w:tcW w:w="584" w:type="pct"/>
            <w:shd w:val="clear" w:color="auto" w:fill="auto"/>
            <w:noWrap/>
            <w:vAlign w:val="center"/>
          </w:tcPr>
          <w:p w14:paraId="60FB34B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22.77%</w:t>
            </w:r>
          </w:p>
        </w:tc>
      </w:tr>
      <w:tr w14:paraId="4BD48726">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1140" w:type="pct"/>
            <w:shd w:val="clear" w:color="auto" w:fill="auto"/>
            <w:noWrap/>
            <w:vAlign w:val="center"/>
          </w:tcPr>
          <w:p w14:paraId="56D01F37">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lang w:eastAsia="zh-CN"/>
              </w:rPr>
            </w:pPr>
            <w:r>
              <w:rPr>
                <w:rFonts w:hint="eastAsia" w:ascii="Times New Roman" w:hAnsi="Times New Roman" w:eastAsia="宋体"/>
                <w:b w:val="0"/>
                <w:color w:val="000000"/>
                <w:sz w:val="21"/>
              </w:rPr>
              <w:t>二、无限售流通股</w:t>
            </w:r>
          </w:p>
        </w:tc>
        <w:tc>
          <w:tcPr>
            <w:tcW w:w="843" w:type="pct"/>
            <w:shd w:val="clear" w:color="auto" w:fill="auto"/>
            <w:noWrap/>
            <w:vAlign w:val="center"/>
          </w:tcPr>
          <w:p w14:paraId="094A5BC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1,215,621,877</w:t>
            </w:r>
          </w:p>
        </w:tc>
        <w:tc>
          <w:tcPr>
            <w:tcW w:w="586" w:type="pct"/>
            <w:shd w:val="clear" w:color="auto" w:fill="auto"/>
            <w:noWrap/>
            <w:vAlign w:val="center"/>
          </w:tcPr>
          <w:p w14:paraId="04B05A49">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40.42%</w:t>
            </w:r>
          </w:p>
        </w:tc>
        <w:tc>
          <w:tcPr>
            <w:tcW w:w="1000" w:type="pct"/>
            <w:shd w:val="clear" w:color="auto" w:fill="auto"/>
            <w:noWrap/>
            <w:vAlign w:val="center"/>
          </w:tcPr>
          <w:p w14:paraId="7C844655">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ascii="Times New Roman" w:hAnsi="Times New Roman" w:eastAsia="宋体"/>
                <w:b w:val="0"/>
                <w:color w:val="000000"/>
                <w:sz w:val="21"/>
              </w:rPr>
              <w:t>1,107,065,194</w:t>
            </w:r>
          </w:p>
        </w:tc>
        <w:tc>
          <w:tcPr>
            <w:tcW w:w="843" w:type="pct"/>
            <w:shd w:val="clear" w:color="auto" w:fill="auto"/>
            <w:noWrap/>
            <w:vAlign w:val="center"/>
          </w:tcPr>
          <w:p w14:paraId="798B2456">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2,322,687,071</w:t>
            </w:r>
          </w:p>
        </w:tc>
        <w:tc>
          <w:tcPr>
            <w:tcW w:w="584" w:type="pct"/>
            <w:shd w:val="clear" w:color="auto" w:fill="auto"/>
            <w:noWrap/>
            <w:vAlign w:val="center"/>
          </w:tcPr>
          <w:p w14:paraId="69FDE203">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77.23%</w:t>
            </w:r>
          </w:p>
        </w:tc>
      </w:tr>
      <w:tr w14:paraId="477485DD">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shd w:val="clear" w:color="auto" w:fill="auto"/>
          <w:tblCellMar>
            <w:top w:w="0" w:type="dxa"/>
            <w:left w:w="108" w:type="dxa"/>
            <w:bottom w:w="0" w:type="dxa"/>
            <w:right w:w="108" w:type="dxa"/>
          </w:tblCellMar>
        </w:tblPrEx>
        <w:trPr>
          <w:cantSplit/>
          <w:trHeight w:val="397" w:hRule="atLeast"/>
          <w:jc w:val="center"/>
        </w:trPr>
        <w:tc>
          <w:tcPr>
            <w:tcW w:w="1140" w:type="pct"/>
            <w:shd w:val="clear" w:color="auto" w:fill="auto"/>
            <w:noWrap/>
            <w:vAlign w:val="center"/>
          </w:tcPr>
          <w:p w14:paraId="33519286">
            <w:pPr>
              <w:bidi w:val="0"/>
              <w:spacing w:beforeAutospacing="0" w:afterAutospacing="0" w:line="240" w:lineRule="auto"/>
              <w:ind w:left="0" w:leftChars="0" w:right="0" w:rightChars="0" w:firstLine="0" w:firstLineChars="0"/>
              <w:rPr>
                <w:rFonts w:hint="eastAsia" w:ascii="Times New Roman" w:hAnsi="Times New Roman" w:eastAsia="宋体"/>
                <w:b w:val="0"/>
                <w:color w:val="000000"/>
                <w:sz w:val="21"/>
              </w:rPr>
            </w:pPr>
            <w:r>
              <w:rPr>
                <w:rFonts w:hint="eastAsia" w:ascii="Times New Roman" w:hAnsi="Times New Roman" w:eastAsia="宋体"/>
                <w:b w:val="0"/>
                <w:color w:val="000000"/>
                <w:sz w:val="21"/>
              </w:rPr>
              <w:t>三、股份总数</w:t>
            </w:r>
          </w:p>
        </w:tc>
        <w:tc>
          <w:tcPr>
            <w:tcW w:w="843" w:type="pct"/>
            <w:shd w:val="clear" w:color="auto" w:fill="auto"/>
            <w:noWrap/>
            <w:vAlign w:val="center"/>
          </w:tcPr>
          <w:p w14:paraId="5B6EF0BA">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3,007,665,385</w:t>
            </w:r>
          </w:p>
        </w:tc>
        <w:tc>
          <w:tcPr>
            <w:tcW w:w="586" w:type="pct"/>
            <w:shd w:val="clear" w:color="auto" w:fill="auto"/>
            <w:noWrap/>
            <w:vAlign w:val="center"/>
          </w:tcPr>
          <w:p w14:paraId="4A15E570">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100.00%</w:t>
            </w:r>
          </w:p>
        </w:tc>
        <w:tc>
          <w:tcPr>
            <w:tcW w:w="1000" w:type="pct"/>
            <w:shd w:val="clear" w:color="auto" w:fill="auto"/>
            <w:noWrap/>
            <w:vAlign w:val="center"/>
          </w:tcPr>
          <w:p w14:paraId="450FD9AC">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lang w:val="en-US" w:eastAsia="zh-CN"/>
              </w:rPr>
            </w:pPr>
            <w:r>
              <w:rPr>
                <w:rFonts w:hint="eastAsia" w:ascii="Times New Roman" w:hAnsi="Times New Roman" w:eastAsia="宋体"/>
                <w:b w:val="0"/>
                <w:color w:val="000000"/>
                <w:sz w:val="21"/>
                <w:lang w:val="en-US" w:eastAsia="zh-CN"/>
              </w:rPr>
              <w:t>0</w:t>
            </w:r>
          </w:p>
        </w:tc>
        <w:tc>
          <w:tcPr>
            <w:tcW w:w="843" w:type="pct"/>
            <w:shd w:val="clear" w:color="auto" w:fill="auto"/>
            <w:noWrap/>
            <w:vAlign w:val="center"/>
          </w:tcPr>
          <w:p w14:paraId="0C1E691D">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3,007,665,385</w:t>
            </w:r>
          </w:p>
        </w:tc>
        <w:tc>
          <w:tcPr>
            <w:tcW w:w="584" w:type="pct"/>
            <w:shd w:val="clear" w:color="auto" w:fill="auto"/>
            <w:noWrap/>
            <w:vAlign w:val="center"/>
          </w:tcPr>
          <w:p w14:paraId="05B337E8">
            <w:pPr>
              <w:bidi w:val="0"/>
              <w:spacing w:beforeAutospacing="0" w:afterAutospacing="0" w:line="240" w:lineRule="auto"/>
              <w:ind w:left="0" w:leftChars="0" w:right="0" w:rightChars="0" w:firstLine="0" w:firstLineChars="0"/>
              <w:jc w:val="right"/>
              <w:rPr>
                <w:rFonts w:hint="eastAsia" w:ascii="Times New Roman" w:hAnsi="Times New Roman" w:eastAsia="宋体"/>
                <w:b w:val="0"/>
                <w:color w:val="000000"/>
                <w:sz w:val="21"/>
              </w:rPr>
            </w:pPr>
            <w:r>
              <w:rPr>
                <w:rFonts w:hint="eastAsia" w:ascii="Times New Roman" w:hAnsi="Times New Roman" w:eastAsia="宋体"/>
                <w:b w:val="0"/>
                <w:color w:val="000000"/>
                <w:sz w:val="21"/>
              </w:rPr>
              <w:t>100.00%</w:t>
            </w:r>
          </w:p>
        </w:tc>
      </w:tr>
    </w:tbl>
    <w:p w14:paraId="70EE57A0">
      <w:pPr>
        <w:spacing w:line="68" w:lineRule="exact"/>
      </w:pPr>
    </w:p>
    <w:p w14:paraId="18516DF3">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0" w:leftChars="0" w:firstLine="470" w:firstLineChars="200"/>
        <w:textAlignment w:val="baseline"/>
        <w:rPr>
          <w:b/>
          <w:bCs/>
          <w:spacing w:val="-3"/>
          <w:highlight w:val="none"/>
        </w:rPr>
      </w:pPr>
      <w:r>
        <w:rPr>
          <w:rFonts w:hint="eastAsia" w:cs="宋体"/>
          <w:b/>
          <w:bCs/>
          <w:snapToGrid w:val="0"/>
          <w:color w:val="000000"/>
          <w:spacing w:val="-3"/>
          <w:kern w:val="0"/>
          <w:sz w:val="24"/>
          <w:szCs w:val="24"/>
          <w:lang w:val="en-US" w:eastAsia="zh-CN" w:bidi="ar-SA"/>
        </w:rPr>
        <w:t>七</w:t>
      </w:r>
      <w:r>
        <w:rPr>
          <w:rFonts w:hint="eastAsia" w:ascii="宋体" w:hAnsi="宋体" w:eastAsia="宋体" w:cs="宋体"/>
          <w:b/>
          <w:bCs/>
          <w:snapToGrid w:val="0"/>
          <w:color w:val="000000"/>
          <w:spacing w:val="-3"/>
          <w:kern w:val="0"/>
          <w:sz w:val="24"/>
          <w:szCs w:val="24"/>
          <w:lang w:val="en-US" w:eastAsia="en-US" w:bidi="ar-SA"/>
        </w:rPr>
        <w:t>、</w:t>
      </w:r>
      <w:r>
        <w:rPr>
          <w:b/>
          <w:bCs/>
          <w:spacing w:val="-3"/>
          <w:highlight w:val="none"/>
        </w:rPr>
        <w:t>财务顾问核查意见</w:t>
      </w:r>
    </w:p>
    <w:p w14:paraId="1E4EC2E0">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Chars="0" w:firstLine="468" w:firstLineChars="200"/>
        <w:jc w:val="both"/>
        <w:textAlignment w:val="baseline"/>
        <w:rPr>
          <w:rFonts w:hint="eastAsia"/>
          <w:b w:val="0"/>
          <w:bCs w:val="0"/>
          <w:spacing w:val="-3"/>
          <w:highlight w:val="none"/>
        </w:rPr>
      </w:pPr>
      <w:r>
        <w:rPr>
          <w:rFonts w:hint="eastAsia"/>
          <w:b w:val="0"/>
          <w:bCs w:val="0"/>
          <w:spacing w:val="-3"/>
          <w:highlight w:val="none"/>
        </w:rPr>
        <w:t>经核查，本财务顾问就上市公司本次限售股份上市流通事项发表核查意见如下：</w:t>
      </w:r>
    </w:p>
    <w:p w14:paraId="0DD5698A">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before="0" w:beforeLines="50" w:after="0" w:afterLines="50" w:line="360" w:lineRule="auto"/>
        <w:ind w:leftChars="0" w:firstLine="468" w:firstLineChars="200"/>
        <w:jc w:val="both"/>
        <w:textAlignment w:val="baseline"/>
        <w:rPr>
          <w:rFonts w:hint="eastAsia"/>
          <w:b w:val="0"/>
          <w:bCs w:val="0"/>
          <w:spacing w:val="-3"/>
          <w:highlight w:val="none"/>
        </w:rPr>
      </w:pPr>
      <w:r>
        <w:rPr>
          <w:rFonts w:hint="eastAsia"/>
          <w:b w:val="0"/>
          <w:bCs w:val="0"/>
          <w:spacing w:val="-3"/>
          <w:highlight w:val="none"/>
          <w:lang w:val="en-US" w:eastAsia="zh-CN"/>
        </w:rPr>
        <w:t>中利集团</w:t>
      </w:r>
      <w:r>
        <w:rPr>
          <w:rFonts w:hint="eastAsia"/>
          <w:b w:val="0"/>
          <w:bCs w:val="0"/>
          <w:spacing w:val="-3"/>
          <w:highlight w:val="none"/>
        </w:rPr>
        <w:t>本次限售股份上市流通符合《中华人民共和国公司法》《中华人民共和国证券法》《深圳证券交易所股票上市规则》《深圳证券交易所上市公司自律监管指引第14号——破产重整等事项》等法律、行政法规的规定；</w:t>
      </w:r>
    </w:p>
    <w:p w14:paraId="2103CD33">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before="0" w:beforeLines="50" w:after="0" w:afterLines="50" w:line="360" w:lineRule="auto"/>
        <w:ind w:leftChars="0" w:firstLine="468" w:firstLineChars="200"/>
        <w:jc w:val="both"/>
        <w:textAlignment w:val="baseline"/>
        <w:rPr>
          <w:rFonts w:hint="eastAsia"/>
          <w:b w:val="0"/>
          <w:bCs w:val="0"/>
          <w:spacing w:val="-3"/>
          <w:highlight w:val="none"/>
        </w:rPr>
      </w:pPr>
      <w:r>
        <w:rPr>
          <w:rFonts w:hint="eastAsia"/>
          <w:b w:val="0"/>
          <w:bCs w:val="0"/>
          <w:spacing w:val="-3"/>
          <w:highlight w:val="none"/>
        </w:rPr>
        <w:t>本次限售股份解除限售的数量、上市流通时间符合相关法律、行政法规的规定；</w:t>
      </w:r>
    </w:p>
    <w:p w14:paraId="3AD90A0A">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before="0" w:beforeLines="50" w:after="0" w:afterLines="50" w:line="360" w:lineRule="auto"/>
        <w:ind w:leftChars="0" w:firstLine="468" w:firstLineChars="200"/>
        <w:jc w:val="both"/>
        <w:textAlignment w:val="baseline"/>
        <w:rPr>
          <w:rFonts w:hint="eastAsia"/>
          <w:b w:val="0"/>
          <w:bCs w:val="0"/>
          <w:spacing w:val="-3"/>
          <w:highlight w:val="none"/>
        </w:rPr>
      </w:pPr>
      <w:r>
        <w:rPr>
          <w:rFonts w:hint="eastAsia"/>
          <w:b w:val="0"/>
          <w:bCs w:val="0"/>
          <w:spacing w:val="-3"/>
          <w:highlight w:val="none"/>
        </w:rPr>
        <w:t>财务顾问对</w:t>
      </w:r>
      <w:r>
        <w:rPr>
          <w:rFonts w:hint="eastAsia"/>
          <w:b w:val="0"/>
          <w:bCs w:val="0"/>
          <w:spacing w:val="-3"/>
          <w:highlight w:val="none"/>
          <w:lang w:val="en-US" w:eastAsia="zh-CN"/>
        </w:rPr>
        <w:t>中利集团</w:t>
      </w:r>
      <w:r>
        <w:rPr>
          <w:rFonts w:hint="eastAsia"/>
          <w:b w:val="0"/>
          <w:bCs w:val="0"/>
          <w:spacing w:val="-3"/>
          <w:highlight w:val="none"/>
        </w:rPr>
        <w:t>本次限售股份解除限售事项无异议。</w:t>
      </w:r>
    </w:p>
    <w:p w14:paraId="1A3558BD">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jc w:val="both"/>
        <w:textAlignment w:val="baseline"/>
        <w:rPr>
          <w:rFonts w:hint="eastAsia"/>
          <w:b w:val="0"/>
          <w:bCs w:val="0"/>
          <w:spacing w:val="-3"/>
          <w:highlight w:val="none"/>
        </w:rPr>
        <w:sectPr>
          <w:headerReference r:id="rId5" w:type="default"/>
          <w:footerReference r:id="rId6" w:type="default"/>
          <w:pgSz w:w="11906" w:h="16838"/>
          <w:pgMar w:top="1440" w:right="1797" w:bottom="1440" w:left="1797" w:header="0" w:footer="0" w:gutter="0"/>
          <w:cols w:space="720" w:num="1"/>
        </w:sectPr>
      </w:pPr>
      <w:r>
        <w:rPr>
          <w:rFonts w:hint="eastAsia" w:ascii="Times New Roman" w:hAnsi="Times New Roman" w:cs="Times New Roman" w:eastAsiaTheme="minorEastAsia"/>
          <w:spacing w:val="-3"/>
          <w:lang w:eastAsia="zh-CN"/>
        </w:rPr>
        <w:t>（以下无正文）</w:t>
      </w:r>
    </w:p>
    <w:p w14:paraId="0BF7D0BB">
      <w:pPr>
        <w:pStyle w:val="3"/>
        <w:keepNext w:val="0"/>
        <w:keepLines w:val="0"/>
        <w:pageBreakBefore w:val="0"/>
        <w:widowControl/>
        <w:kinsoku w:val="0"/>
        <w:wordWrap/>
        <w:overflowPunct/>
        <w:topLinePunct w:val="0"/>
        <w:autoSpaceDE w:val="0"/>
        <w:autoSpaceDN w:val="0"/>
        <w:bidi w:val="0"/>
        <w:adjustRightInd w:val="0"/>
        <w:snapToGrid w:val="0"/>
        <w:spacing w:before="120" w:beforeLines="50" w:after="120" w:afterLines="50" w:line="360" w:lineRule="auto"/>
        <w:ind w:firstLine="468" w:firstLineChars="200"/>
        <w:textAlignment w:val="baseline"/>
        <w:rPr>
          <w:rFonts w:ascii="Times New Roman" w:hAnsi="Times New Roman" w:cs="Times New Roman" w:eastAsiaTheme="minorEastAsia"/>
          <w:spacing w:val="-3"/>
          <w:lang w:eastAsia="zh-CN"/>
        </w:rPr>
      </w:pPr>
      <w:r>
        <w:rPr>
          <w:rFonts w:hint="eastAsia" w:ascii="Times New Roman" w:hAnsi="Times New Roman" w:cs="Times New Roman" w:eastAsiaTheme="minorEastAsia"/>
          <w:spacing w:val="-3"/>
          <w:lang w:eastAsia="zh-CN"/>
        </w:rPr>
        <w:t>（本页无正文，为《申万宏源证券承销保荐有限责任公司关于江苏中利集团股份有限公司重整投资人受让资本公积转增的部分限售股份上市流通的核查意见》之盖章页）</w:t>
      </w:r>
    </w:p>
    <w:p w14:paraId="5A303914">
      <w:pPr>
        <w:pStyle w:val="3"/>
        <w:spacing w:before="0"/>
        <w:ind w:left="0" w:right="197" w:firstLine="0"/>
        <w:jc w:val="right"/>
        <w:rPr>
          <w:rFonts w:ascii="Times New Roman" w:hAnsi="Times New Roman" w:cs="Times New Roman" w:eastAsiaTheme="minorEastAsia"/>
          <w:lang w:eastAsia="zh-CN"/>
        </w:rPr>
      </w:pPr>
      <w:bookmarkStart w:id="0" w:name="_Hlk178176561"/>
    </w:p>
    <w:p w14:paraId="3BCF29E9">
      <w:pPr>
        <w:pStyle w:val="3"/>
        <w:spacing w:before="0"/>
        <w:ind w:left="0" w:right="197" w:firstLine="0"/>
        <w:jc w:val="right"/>
        <w:rPr>
          <w:rFonts w:ascii="Times New Roman" w:hAnsi="Times New Roman" w:cs="Times New Roman" w:eastAsiaTheme="minorEastAsia"/>
          <w:lang w:eastAsia="zh-CN"/>
        </w:rPr>
      </w:pPr>
    </w:p>
    <w:p w14:paraId="10B74923">
      <w:pPr>
        <w:pStyle w:val="3"/>
        <w:spacing w:before="0"/>
        <w:ind w:left="0" w:right="197" w:firstLine="0"/>
        <w:jc w:val="right"/>
        <w:rPr>
          <w:rFonts w:ascii="Times New Roman" w:hAnsi="Times New Roman" w:cs="Times New Roman" w:eastAsiaTheme="minorEastAsia"/>
          <w:lang w:eastAsia="zh-CN"/>
        </w:rPr>
      </w:pPr>
    </w:p>
    <w:p w14:paraId="0166AF15">
      <w:pPr>
        <w:pStyle w:val="3"/>
        <w:spacing w:before="0"/>
        <w:ind w:left="0" w:right="197" w:firstLine="0"/>
        <w:jc w:val="right"/>
        <w:rPr>
          <w:rFonts w:ascii="Times New Roman" w:hAnsi="Times New Roman" w:cs="Times New Roman" w:eastAsiaTheme="minorEastAsia"/>
          <w:lang w:eastAsia="zh-CN"/>
        </w:rPr>
      </w:pPr>
    </w:p>
    <w:p w14:paraId="42B026EF">
      <w:pPr>
        <w:pStyle w:val="3"/>
        <w:spacing w:before="0"/>
        <w:ind w:left="0" w:right="197" w:firstLine="0"/>
        <w:jc w:val="right"/>
        <w:rPr>
          <w:rFonts w:ascii="Times New Roman" w:hAnsi="Times New Roman" w:cs="Times New Roman" w:eastAsiaTheme="minorEastAsia"/>
          <w:lang w:eastAsia="zh-CN"/>
        </w:rPr>
      </w:pPr>
    </w:p>
    <w:p w14:paraId="744FA740">
      <w:pPr>
        <w:pStyle w:val="3"/>
        <w:spacing w:before="0"/>
        <w:ind w:left="0" w:right="197" w:firstLine="0"/>
        <w:jc w:val="right"/>
        <w:rPr>
          <w:rFonts w:ascii="Times New Roman" w:hAnsi="Times New Roman" w:cs="Times New Roman" w:eastAsiaTheme="minorEastAsia"/>
          <w:lang w:eastAsia="zh-CN"/>
        </w:rPr>
      </w:pPr>
    </w:p>
    <w:p w14:paraId="051C7EB4">
      <w:pPr>
        <w:pStyle w:val="3"/>
        <w:spacing w:before="0"/>
        <w:ind w:left="0" w:right="197" w:firstLine="0"/>
        <w:jc w:val="right"/>
        <w:rPr>
          <w:rFonts w:ascii="Times New Roman" w:hAnsi="Times New Roman" w:cs="Times New Roman" w:eastAsiaTheme="minorEastAsia"/>
          <w:lang w:eastAsia="zh-CN"/>
        </w:rPr>
      </w:pPr>
    </w:p>
    <w:p w14:paraId="6B4AD765">
      <w:pPr>
        <w:pStyle w:val="3"/>
        <w:spacing w:before="0"/>
        <w:ind w:left="0" w:right="197" w:firstLine="0"/>
        <w:jc w:val="right"/>
        <w:rPr>
          <w:rFonts w:ascii="Times New Roman" w:hAnsi="Times New Roman" w:cs="Times New Roman" w:eastAsiaTheme="minorEastAsia"/>
          <w:lang w:eastAsia="zh-CN"/>
        </w:rPr>
      </w:pPr>
    </w:p>
    <w:p w14:paraId="06818815">
      <w:pPr>
        <w:pStyle w:val="3"/>
        <w:spacing w:before="0"/>
        <w:ind w:left="0" w:right="197" w:firstLine="0"/>
        <w:jc w:val="right"/>
        <w:rPr>
          <w:rFonts w:ascii="Times New Roman" w:hAnsi="Times New Roman" w:cs="Times New Roman" w:eastAsiaTheme="minorEastAsia"/>
          <w:lang w:eastAsia="zh-CN"/>
        </w:rPr>
      </w:pPr>
    </w:p>
    <w:p w14:paraId="7D3330DA">
      <w:pPr>
        <w:pStyle w:val="3"/>
        <w:spacing w:before="0"/>
        <w:ind w:left="0" w:right="197" w:firstLine="0"/>
        <w:jc w:val="right"/>
        <w:rPr>
          <w:rFonts w:ascii="Times New Roman" w:hAnsi="Times New Roman" w:cs="Times New Roman" w:eastAsiaTheme="minorEastAsia"/>
          <w:lang w:eastAsia="zh-CN"/>
        </w:rPr>
      </w:pPr>
    </w:p>
    <w:p w14:paraId="2740660D">
      <w:pPr>
        <w:pStyle w:val="3"/>
        <w:spacing w:before="0"/>
        <w:ind w:left="0" w:right="197" w:firstLine="0"/>
        <w:jc w:val="right"/>
        <w:rPr>
          <w:rFonts w:ascii="Times New Roman" w:hAnsi="Times New Roman" w:cs="Times New Roman" w:eastAsiaTheme="minorEastAsia"/>
          <w:lang w:eastAsia="zh-CN"/>
        </w:rPr>
      </w:pPr>
    </w:p>
    <w:p w14:paraId="15DCD830">
      <w:pPr>
        <w:pStyle w:val="3"/>
        <w:spacing w:before="0"/>
        <w:ind w:left="0" w:right="197" w:firstLine="0"/>
        <w:jc w:val="right"/>
        <w:rPr>
          <w:rFonts w:ascii="Times New Roman" w:hAnsi="Times New Roman" w:cs="Times New Roman" w:eastAsiaTheme="minorEastAsia"/>
          <w:lang w:eastAsia="zh-CN"/>
        </w:rPr>
      </w:pPr>
    </w:p>
    <w:p w14:paraId="475DDDCB">
      <w:pPr>
        <w:pStyle w:val="3"/>
        <w:spacing w:before="0"/>
        <w:ind w:left="0" w:right="197" w:firstLine="0"/>
        <w:jc w:val="right"/>
        <w:rPr>
          <w:rFonts w:ascii="Times New Roman" w:hAnsi="Times New Roman" w:cs="Times New Roman" w:eastAsiaTheme="minorEastAsia"/>
          <w:lang w:eastAsia="zh-CN"/>
        </w:rPr>
      </w:pPr>
    </w:p>
    <w:p w14:paraId="5533AF8C">
      <w:pPr>
        <w:pStyle w:val="3"/>
        <w:spacing w:before="0"/>
        <w:ind w:left="0" w:right="197" w:firstLine="0"/>
        <w:jc w:val="right"/>
        <w:rPr>
          <w:rFonts w:ascii="Times New Roman" w:hAnsi="Times New Roman" w:cs="Times New Roman" w:eastAsiaTheme="minorEastAsia"/>
          <w:lang w:eastAsia="zh-CN"/>
        </w:rPr>
      </w:pPr>
    </w:p>
    <w:p w14:paraId="1C20FF26">
      <w:pPr>
        <w:pStyle w:val="3"/>
        <w:spacing w:before="0"/>
        <w:ind w:left="0" w:right="197" w:firstLine="0"/>
        <w:jc w:val="right"/>
        <w:rPr>
          <w:rFonts w:ascii="Times New Roman" w:hAnsi="Times New Roman" w:cs="Times New Roman" w:eastAsiaTheme="minorEastAsia"/>
          <w:lang w:eastAsia="zh-CN"/>
        </w:rPr>
      </w:pPr>
    </w:p>
    <w:p w14:paraId="604E340C">
      <w:pPr>
        <w:pStyle w:val="3"/>
        <w:spacing w:before="0"/>
        <w:ind w:left="0" w:right="197" w:firstLine="0"/>
        <w:jc w:val="right"/>
        <w:rPr>
          <w:rFonts w:ascii="Times New Roman" w:hAnsi="Times New Roman" w:cs="Times New Roman" w:eastAsiaTheme="minorEastAsia"/>
          <w:lang w:eastAsia="zh-CN"/>
        </w:rPr>
      </w:pPr>
    </w:p>
    <w:p w14:paraId="777BCAB2">
      <w:pPr>
        <w:pStyle w:val="3"/>
        <w:spacing w:before="0"/>
        <w:ind w:left="0" w:right="197" w:firstLine="0"/>
        <w:jc w:val="right"/>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申万宏源证券承销保荐有限责任公司</w:t>
      </w:r>
    </w:p>
    <w:bookmarkEnd w:id="0"/>
    <w:p w14:paraId="631C0CEB">
      <w:pPr>
        <w:spacing w:before="9"/>
        <w:rPr>
          <w:rFonts w:ascii="Times New Roman" w:hAnsi="Times New Roman" w:cs="Times New Roman"/>
          <w:sz w:val="23"/>
          <w:szCs w:val="23"/>
          <w:lang w:eastAsia="zh-CN"/>
        </w:rPr>
      </w:pPr>
    </w:p>
    <w:p w14:paraId="46286FC2">
      <w:pPr>
        <w:pStyle w:val="3"/>
        <w:spacing w:before="0"/>
        <w:ind w:left="0" w:right="197" w:firstLine="0"/>
        <w:jc w:val="right"/>
        <w:rPr>
          <w:rFonts w:ascii="Times New Roman" w:hAnsi="Times New Roman" w:cs="Times New Roman" w:eastAsiaTheme="minorEastAsia"/>
        </w:rPr>
      </w:pPr>
      <w:r>
        <w:rPr>
          <w:rFonts w:hint="eastAsia" w:ascii="Times New Roman" w:hAnsi="Times New Roman" w:cs="Times New Roman" w:eastAsiaTheme="minorEastAsia"/>
        </w:rPr>
        <w:t>年</w:t>
      </w:r>
      <w:r>
        <w:rPr>
          <w:rFonts w:hint="eastAsia" w:ascii="Times New Roman" w:hAnsi="Times New Roman" w:cs="Times New Roman" w:eastAsiaTheme="minorEastAsia"/>
          <w:lang w:eastAsia="zh-CN"/>
        </w:rPr>
        <w:t xml:space="preserve">    </w:t>
      </w:r>
      <w:r>
        <w:rPr>
          <w:rFonts w:hint="eastAsia" w:ascii="Times New Roman" w:hAnsi="Times New Roman" w:cs="Times New Roman" w:eastAsiaTheme="minorEastAsia"/>
        </w:rPr>
        <w:t>月</w:t>
      </w:r>
      <w:r>
        <w:rPr>
          <w:rFonts w:hint="eastAsia" w:ascii="Times New Roman" w:hAnsi="Times New Roman" w:cs="Times New Roman" w:eastAsiaTheme="minorEastAsia"/>
          <w:lang w:eastAsia="zh-CN"/>
        </w:rPr>
        <w:t xml:space="preserve">  </w:t>
      </w:r>
      <w:r>
        <w:rPr>
          <w:rFonts w:ascii="Times New Roman" w:hAnsi="Times New Roman" w:cs="Times New Roman" w:eastAsiaTheme="minorEastAsia"/>
          <w:lang w:eastAsia="zh-CN"/>
        </w:rPr>
        <w:t xml:space="preserve"> </w:t>
      </w:r>
      <w:r>
        <w:rPr>
          <w:rFonts w:hint="eastAsia" w:ascii="Times New Roman" w:hAnsi="Times New Roman" w:cs="Times New Roman" w:eastAsiaTheme="minorEastAsia"/>
          <w:lang w:eastAsia="zh-CN"/>
        </w:rPr>
        <w:t xml:space="preserve"> </w:t>
      </w:r>
      <w:r>
        <w:rPr>
          <w:rFonts w:hint="eastAsia" w:ascii="Times New Roman" w:hAnsi="Times New Roman" w:cs="Times New Roman" w:eastAsiaTheme="minorEastAsia"/>
        </w:rPr>
        <w:t>日</w:t>
      </w:r>
    </w:p>
    <w:p w14:paraId="39DA94E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60" w:lineRule="auto"/>
        <w:ind w:leftChars="200"/>
        <w:jc w:val="both"/>
        <w:textAlignment w:val="baseline"/>
        <w:rPr>
          <w:rFonts w:hint="eastAsia"/>
          <w:b w:val="0"/>
          <w:bCs w:val="0"/>
          <w:spacing w:val="-3"/>
          <w:highlight w:val="none"/>
        </w:rPr>
      </w:pPr>
    </w:p>
    <w:sectPr>
      <w:pgSz w:w="11910" w:h="16840"/>
      <w:pgMar w:top="1440" w:right="1797" w:bottom="1440" w:left="179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491168"/>
    <w:multiLevelType w:val="singleLevel"/>
    <w:tmpl w:val="95491168"/>
    <w:lvl w:ilvl="0" w:tentative="0">
      <w:start w:val="2"/>
      <w:numFmt w:val="decimal"/>
      <w:suff w:val="nothing"/>
      <w:lvlText w:val="%1、"/>
      <w:lvlJc w:val="left"/>
    </w:lvl>
  </w:abstractNum>
  <w:abstractNum w:abstractNumId="1">
    <w:nsid w:val="12000AD6"/>
    <w:multiLevelType w:val="singleLevel"/>
    <w:tmpl w:val="12000AD6"/>
    <w:lvl w:ilvl="0" w:tentative="0">
      <w:start w:val="1"/>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