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7E8" w:rsidRDefault="006F32FC" w:rsidP="00CC4EE7">
      <w:pPr>
        <w:spacing w:beforeLines="100" w:before="240" w:afterLines="100" w:after="240" w:line="360" w:lineRule="auto"/>
        <w:ind w:left="2767" w:right="2903"/>
        <w:jc w:val="center"/>
        <w:rPr>
          <w:b/>
          <w:sz w:val="30"/>
          <w:szCs w:val="30"/>
        </w:rPr>
      </w:pPr>
      <w:r>
        <w:rPr>
          <w:b/>
          <w:sz w:val="30"/>
          <w:szCs w:val="30"/>
        </w:rPr>
        <w:t>江苏中利集团股份有限公司募集资金管理制度</w:t>
      </w:r>
    </w:p>
    <w:p w:rsidR="00BC17E8" w:rsidRDefault="00BC17E8">
      <w:pPr>
        <w:pStyle w:val="a5"/>
        <w:spacing w:line="360" w:lineRule="auto"/>
        <w:ind w:left="0"/>
        <w:rPr>
          <w:sz w:val="26"/>
        </w:rPr>
      </w:pPr>
    </w:p>
    <w:p w:rsidR="00BC17E8" w:rsidRDefault="006F32FC" w:rsidP="00FF52FF">
      <w:pPr>
        <w:pStyle w:val="1"/>
        <w:spacing w:beforeLines="50" w:before="120" w:afterLines="50" w:after="120" w:line="360" w:lineRule="auto"/>
        <w:ind w:left="0"/>
        <w:jc w:val="center"/>
      </w:pPr>
      <w:r>
        <w:t>第一章</w:t>
      </w:r>
      <w:r w:rsidR="002B241A">
        <w:rPr>
          <w:rFonts w:hint="eastAsia"/>
        </w:rPr>
        <w:t xml:space="preserve"> </w:t>
      </w:r>
      <w:r w:rsidR="002B241A">
        <w:t xml:space="preserve"> </w:t>
      </w:r>
      <w:r>
        <w:t>总则</w:t>
      </w:r>
    </w:p>
    <w:p w:rsidR="00BC17E8" w:rsidRDefault="006F32FC">
      <w:pPr>
        <w:pStyle w:val="a5"/>
        <w:spacing w:line="360" w:lineRule="auto"/>
        <w:ind w:right="213" w:firstLine="481"/>
        <w:jc w:val="both"/>
      </w:pPr>
      <w:r>
        <w:rPr>
          <w:b/>
          <w:bCs/>
        </w:rPr>
        <w:t xml:space="preserve">第一条 </w:t>
      </w:r>
      <w:r>
        <w:t>为规范江苏中利集团股份有限公司（以下简称“公司”）募集资金管理，提高募集资金使用效率，防范资金使用风险，保障资金使用安全，切实保护投资者利益，根据《中华人民共和国公司法》《中华人民共和国证券法》《深圳证券交易所股票上市规则》</w:t>
      </w:r>
      <w:r w:rsidR="00CC4E80">
        <w:rPr>
          <w:rFonts w:hint="eastAsia"/>
        </w:rPr>
        <w:t>(以下简称“《股票上市规则》”)、</w:t>
      </w:r>
      <w:r>
        <w:t>《</w:t>
      </w:r>
      <w:r w:rsidR="00240AB0">
        <w:t>深圳证券交易所上市公司自律监管指引第1号—主板上市公司规范运作</w:t>
      </w:r>
      <w:r>
        <w:t>》</w:t>
      </w:r>
      <w:r w:rsidR="006F2987">
        <w:t>《</w:t>
      </w:r>
      <w:r w:rsidR="001204AB" w:rsidRPr="001204AB">
        <w:rPr>
          <w:rFonts w:hint="eastAsia"/>
        </w:rPr>
        <w:t>上市公司募集资金监管规则</w:t>
      </w:r>
      <w:r w:rsidR="006F2987">
        <w:t>》</w:t>
      </w:r>
      <w:r>
        <w:t>等有关法律、法规和规范性文件的规定以及《公司章程》的规定，结合公司实际情况，制定本制度。</w:t>
      </w:r>
    </w:p>
    <w:p w:rsidR="00BC17E8" w:rsidRDefault="006F32FC">
      <w:pPr>
        <w:pStyle w:val="a5"/>
        <w:tabs>
          <w:tab w:val="left" w:pos="1548"/>
        </w:tabs>
        <w:spacing w:line="360" w:lineRule="auto"/>
        <w:ind w:right="103" w:firstLine="481"/>
      </w:pPr>
      <w:r>
        <w:rPr>
          <w:b/>
          <w:bCs/>
        </w:rPr>
        <w:t xml:space="preserve">第二条 </w:t>
      </w:r>
      <w:r>
        <w:t>本制度所称募集资金是指公司</w:t>
      </w:r>
      <w:r w:rsidR="001204AB" w:rsidRPr="001204AB">
        <w:rPr>
          <w:rFonts w:hint="eastAsia"/>
        </w:rPr>
        <w:t>通过发行股票或者其他具有股权性质的证券，向投资者募集并用于特定用途的资金，但不包括公司为实施股权激励计划募集的资金</w:t>
      </w:r>
      <w:r>
        <w:t>。</w:t>
      </w:r>
    </w:p>
    <w:p w:rsidR="00BC17E8" w:rsidRDefault="006F32FC">
      <w:pPr>
        <w:pStyle w:val="a5"/>
        <w:tabs>
          <w:tab w:val="left" w:pos="1548"/>
        </w:tabs>
        <w:spacing w:line="360" w:lineRule="auto"/>
        <w:ind w:left="587"/>
      </w:pPr>
      <w:r>
        <w:rPr>
          <w:b/>
          <w:bCs/>
        </w:rPr>
        <w:t xml:space="preserve">第三条 </w:t>
      </w:r>
      <w:r>
        <w:t>公司董事会应当确保本制度的有效实施。</w:t>
      </w:r>
    </w:p>
    <w:p w:rsidR="00BC17E8" w:rsidRDefault="00397E72" w:rsidP="00397E72">
      <w:pPr>
        <w:pStyle w:val="a5"/>
        <w:spacing w:line="360" w:lineRule="auto"/>
        <w:ind w:right="222" w:firstLine="481"/>
        <w:jc w:val="both"/>
      </w:pPr>
      <w:r>
        <w:t>募集资金投资项目通过公司的子公司或公司控制的其他企业</w:t>
      </w:r>
      <w:r w:rsidRPr="00397E72">
        <w:rPr>
          <w:rFonts w:hint="eastAsia"/>
        </w:rPr>
        <w:t>（指公司持股</w:t>
      </w:r>
      <w:proofErr w:type="gramStart"/>
      <w:r w:rsidRPr="00397E72">
        <w:rPr>
          <w:rFonts w:hint="eastAsia"/>
        </w:rPr>
        <w:t>比例超</w:t>
      </w:r>
      <w:proofErr w:type="gramEnd"/>
      <w:r w:rsidRPr="00397E72">
        <w:t xml:space="preserve"> 50% 或通过协议、章程等实质控制的企业）</w:t>
      </w:r>
      <w:r>
        <w:rPr>
          <w:rFonts w:hint="eastAsia"/>
        </w:rPr>
        <w:t>实施的</w:t>
      </w:r>
      <w:r w:rsidR="006F32FC">
        <w:t>，公司应当确保该子公司或控制的其他企业遵守本募集资金管理制度。</w:t>
      </w:r>
    </w:p>
    <w:p w:rsidR="00BC17E8" w:rsidRDefault="006F32FC" w:rsidP="00FF52FF">
      <w:pPr>
        <w:pStyle w:val="1"/>
        <w:spacing w:beforeLines="50" w:before="120" w:afterLines="50" w:after="120" w:line="360" w:lineRule="auto"/>
        <w:ind w:left="0"/>
        <w:jc w:val="center"/>
      </w:pPr>
      <w:r>
        <w:t>第二章</w:t>
      </w:r>
      <w:r w:rsidR="002B241A">
        <w:rPr>
          <w:rFonts w:hint="eastAsia"/>
        </w:rPr>
        <w:t xml:space="preserve"> </w:t>
      </w:r>
      <w:r w:rsidR="002B241A">
        <w:t xml:space="preserve"> </w:t>
      </w:r>
      <w:r>
        <w:t>募集资金专户存储</w:t>
      </w:r>
    </w:p>
    <w:p w:rsidR="00BC17E8" w:rsidRDefault="006F32FC">
      <w:pPr>
        <w:pStyle w:val="a5"/>
        <w:spacing w:line="360" w:lineRule="auto"/>
        <w:ind w:right="282" w:firstLine="481"/>
        <w:jc w:val="both"/>
      </w:pPr>
      <w:r>
        <w:rPr>
          <w:b/>
          <w:bCs/>
        </w:rPr>
        <w:t xml:space="preserve">第四条 </w:t>
      </w:r>
      <w:r>
        <w:t>公司募集资金应当存放于董事会决定的专项账户（以下简称“专户”）集中管理，专户不得存放非募集资金或者用作其他用途。公司存在两次以上融资的，应当独立设置募集资金专户。实际</w:t>
      </w:r>
      <w:r w:rsidR="004A5CCC">
        <w:t>发行募集资金总额扣除发行费用后的净额</w:t>
      </w:r>
      <w:r w:rsidR="004A5CCC">
        <w:rPr>
          <w:rFonts w:hint="eastAsia"/>
        </w:rPr>
        <w:t>（</w:t>
      </w:r>
      <w:r w:rsidR="004A5CCC">
        <w:t>以下简称“</w:t>
      </w:r>
      <w:r>
        <w:t>募集资金净额</w:t>
      </w:r>
      <w:r w:rsidR="004A5CCC">
        <w:rPr>
          <w:rFonts w:hint="eastAsia"/>
        </w:rPr>
        <w:t>”）</w:t>
      </w:r>
      <w:r>
        <w:t>超过计划募集资金金额（以下简称“超募资金”）也应当存放于募集资金专户管理。</w:t>
      </w:r>
    </w:p>
    <w:p w:rsidR="00BC17E8" w:rsidRPr="008D0CD5" w:rsidRDefault="006F32FC" w:rsidP="008D0CD5">
      <w:pPr>
        <w:pStyle w:val="a5"/>
        <w:spacing w:line="360" w:lineRule="auto"/>
        <w:ind w:right="282" w:firstLine="481"/>
        <w:jc w:val="both"/>
        <w:rPr>
          <w:bCs/>
        </w:rPr>
      </w:pPr>
      <w:r>
        <w:rPr>
          <w:b/>
          <w:bCs/>
        </w:rPr>
        <w:t xml:space="preserve">第五条 </w:t>
      </w:r>
      <w:r w:rsidRPr="008D0CD5">
        <w:rPr>
          <w:bCs/>
        </w:rPr>
        <w:t>公司应当在募集资金到位后1个月内与保荐机构</w:t>
      </w:r>
      <w:r w:rsidRPr="008D0CD5">
        <w:rPr>
          <w:rFonts w:hint="eastAsia"/>
          <w:bCs/>
        </w:rPr>
        <w:t>或者独立财务顾问</w:t>
      </w:r>
      <w:r w:rsidRPr="008D0CD5">
        <w:rPr>
          <w:bCs/>
        </w:rPr>
        <w:t>、存放募集资金的商业银行（以下简称“商业银行”）签订三方监管协议（以下简称“协议”）。协议至少应当包括以下内容：</w:t>
      </w:r>
    </w:p>
    <w:p w:rsidR="00BC17E8" w:rsidRDefault="006F32FC">
      <w:pPr>
        <w:pStyle w:val="a5"/>
        <w:spacing w:line="360" w:lineRule="auto"/>
        <w:ind w:left="0" w:firstLineChars="200" w:firstLine="480"/>
        <w:jc w:val="both"/>
      </w:pPr>
      <w:r>
        <w:t>（一）公司应当将募集资金集中存放于专户中；</w:t>
      </w:r>
    </w:p>
    <w:p w:rsidR="00BC17E8" w:rsidRDefault="006F32FC">
      <w:pPr>
        <w:pStyle w:val="a5"/>
        <w:spacing w:line="360" w:lineRule="auto"/>
        <w:ind w:left="0" w:firstLineChars="200" w:firstLine="480"/>
        <w:jc w:val="both"/>
      </w:pPr>
      <w:r>
        <w:t>（二）募集资金专户账号、该专</w:t>
      </w:r>
      <w:proofErr w:type="gramStart"/>
      <w:r>
        <w:t>户涉及</w:t>
      </w:r>
      <w:proofErr w:type="gramEnd"/>
      <w:r>
        <w:t>的募集资金项目、存放金额；</w:t>
      </w:r>
    </w:p>
    <w:p w:rsidR="00BC17E8" w:rsidRDefault="006F32FC">
      <w:pPr>
        <w:pStyle w:val="a5"/>
        <w:spacing w:line="360" w:lineRule="auto"/>
        <w:ind w:left="0" w:firstLineChars="200" w:firstLine="480"/>
        <w:jc w:val="both"/>
      </w:pPr>
      <w:r>
        <w:t>（三）公司一次或12个月内累计从专户中支取的金额超过</w:t>
      </w:r>
      <w:r>
        <w:rPr>
          <w:rFonts w:hint="eastAsia"/>
        </w:rPr>
        <w:t>5</w:t>
      </w:r>
      <w:r>
        <w:t>,000万元或募集资金净额的</w:t>
      </w:r>
      <w:r>
        <w:lastRenderedPageBreak/>
        <w:t>百分之</w:t>
      </w:r>
      <w:r>
        <w:rPr>
          <w:rFonts w:hint="eastAsia"/>
        </w:rPr>
        <w:t>二十</w:t>
      </w:r>
      <w:r>
        <w:t>的，公司及商业银行应当及时通知保荐机构</w:t>
      </w:r>
      <w:r>
        <w:rPr>
          <w:rFonts w:hint="eastAsia"/>
        </w:rPr>
        <w:t>或者独立财务顾问</w:t>
      </w:r>
      <w:r>
        <w:t>；</w:t>
      </w:r>
    </w:p>
    <w:p w:rsidR="00BC17E8" w:rsidRDefault="006F32FC">
      <w:pPr>
        <w:pStyle w:val="a5"/>
        <w:spacing w:line="360" w:lineRule="auto"/>
        <w:ind w:left="0" w:firstLineChars="200" w:firstLine="480"/>
        <w:jc w:val="both"/>
      </w:pPr>
      <w:r>
        <w:t>（四）商业银行每月向公司出具对账单，并抄送保荐机构</w:t>
      </w:r>
      <w:r>
        <w:rPr>
          <w:rFonts w:hint="eastAsia"/>
        </w:rPr>
        <w:t>或者独立财务顾问</w:t>
      </w:r>
      <w:r>
        <w:t>；</w:t>
      </w:r>
    </w:p>
    <w:p w:rsidR="00BC17E8" w:rsidRDefault="006F32FC">
      <w:pPr>
        <w:pStyle w:val="a5"/>
        <w:spacing w:line="360" w:lineRule="auto"/>
        <w:ind w:left="0" w:firstLineChars="200" w:firstLine="480"/>
        <w:jc w:val="both"/>
      </w:pPr>
      <w:r>
        <w:t>（五）保荐机构</w:t>
      </w:r>
      <w:r>
        <w:rPr>
          <w:rFonts w:hint="eastAsia"/>
        </w:rPr>
        <w:t>或者独立财务顾问</w:t>
      </w:r>
      <w:r>
        <w:t>可以随时到商业银行查询专户资料；</w:t>
      </w:r>
    </w:p>
    <w:p w:rsidR="00BC17E8" w:rsidRDefault="006F32FC">
      <w:pPr>
        <w:pStyle w:val="a5"/>
        <w:spacing w:line="360" w:lineRule="auto"/>
        <w:ind w:left="0" w:firstLineChars="200" w:firstLine="480"/>
        <w:jc w:val="both"/>
      </w:pPr>
      <w:r>
        <w:t>（六）保荐机构</w:t>
      </w:r>
      <w:r>
        <w:rPr>
          <w:rFonts w:hint="eastAsia"/>
        </w:rPr>
        <w:t>或者独立财务顾问</w:t>
      </w:r>
      <w:r>
        <w:t>的督导职责、商业银行的告知及配合职责、保荐机构</w:t>
      </w:r>
      <w:r>
        <w:rPr>
          <w:rFonts w:hint="eastAsia"/>
        </w:rPr>
        <w:t>或者独立财务顾问</w:t>
      </w:r>
      <w:r>
        <w:t>和商业银行对公司募集资金使用的监管方式；</w:t>
      </w:r>
    </w:p>
    <w:p w:rsidR="00BC17E8" w:rsidRDefault="006F32FC">
      <w:pPr>
        <w:pStyle w:val="a5"/>
        <w:spacing w:line="360" w:lineRule="auto"/>
        <w:ind w:left="0" w:firstLineChars="200" w:firstLine="480"/>
        <w:jc w:val="both"/>
      </w:pPr>
      <w:r>
        <w:t>（七）公司、商业银行、保荐机构</w:t>
      </w:r>
      <w:r>
        <w:rPr>
          <w:rFonts w:hint="eastAsia"/>
        </w:rPr>
        <w:t>或者独立财务顾问</w:t>
      </w:r>
      <w:r>
        <w:t>的权利、义务和违约责任；</w:t>
      </w:r>
    </w:p>
    <w:p w:rsidR="00BC17E8" w:rsidRDefault="006F32FC">
      <w:pPr>
        <w:pStyle w:val="a5"/>
        <w:spacing w:line="360" w:lineRule="auto"/>
        <w:ind w:left="0" w:firstLineChars="200" w:firstLine="480"/>
        <w:jc w:val="both"/>
      </w:pPr>
      <w:r>
        <w:t>（八）商业银行三次未及时向保荐机构</w:t>
      </w:r>
      <w:r>
        <w:rPr>
          <w:rFonts w:hint="eastAsia"/>
        </w:rPr>
        <w:t>或者独立财务顾问</w:t>
      </w:r>
      <w:r>
        <w:t>出具对账单或者通知专户大额支取情况，以及存在未配合保荐机构</w:t>
      </w:r>
      <w:r>
        <w:rPr>
          <w:rFonts w:hint="eastAsia"/>
        </w:rPr>
        <w:t>或者独立财务顾问</w:t>
      </w:r>
      <w:r>
        <w:t>查询与调查专户资料情形的，公司可以终止协议并注销该募集资金专户。</w:t>
      </w:r>
    </w:p>
    <w:p w:rsidR="00BC17E8" w:rsidRDefault="006F32FC">
      <w:pPr>
        <w:pStyle w:val="a5"/>
        <w:spacing w:line="360" w:lineRule="auto"/>
        <w:ind w:left="0" w:firstLineChars="200" w:firstLine="480"/>
        <w:jc w:val="both"/>
      </w:pPr>
      <w:r>
        <w:t>公司应当在上述协议签订后及时公告协议主要内容。</w:t>
      </w:r>
    </w:p>
    <w:p w:rsidR="00BC17E8" w:rsidRDefault="006F32FC">
      <w:pPr>
        <w:pStyle w:val="a5"/>
        <w:spacing w:line="360" w:lineRule="auto"/>
        <w:ind w:left="0" w:firstLineChars="200" w:firstLine="480"/>
        <w:jc w:val="both"/>
      </w:pPr>
      <w:r>
        <w:t>公司通过控股子公司实施</w:t>
      </w:r>
      <w:proofErr w:type="gramStart"/>
      <w:r>
        <w:t>募投项目</w:t>
      </w:r>
      <w:proofErr w:type="gramEnd"/>
      <w:r>
        <w:t>的，应由公司、实施</w:t>
      </w:r>
      <w:proofErr w:type="gramStart"/>
      <w:r>
        <w:t>募投项目</w:t>
      </w:r>
      <w:proofErr w:type="gramEnd"/>
      <w:r>
        <w:t>的控股子公司、商业银行和保荐机构</w:t>
      </w:r>
      <w:r>
        <w:rPr>
          <w:rFonts w:hint="eastAsia"/>
        </w:rPr>
        <w:t>或者独立财务顾问</w:t>
      </w:r>
      <w:r>
        <w:t>共同签署三方监管协议，公司及其控股子公司应当视为共同一方。</w:t>
      </w:r>
    </w:p>
    <w:p w:rsidR="00BC17E8" w:rsidRDefault="006F32FC">
      <w:pPr>
        <w:pStyle w:val="a5"/>
        <w:spacing w:line="360" w:lineRule="auto"/>
        <w:ind w:left="0" w:firstLineChars="200" w:firstLine="480"/>
        <w:jc w:val="both"/>
      </w:pPr>
      <w:r>
        <w:t>上述协议在有效期届满前提前终止的，公司应当自协议终止之日起一个月内与相关当事人签订新的协议并及时公告。</w:t>
      </w:r>
    </w:p>
    <w:p w:rsidR="00BC17E8" w:rsidRDefault="006F32FC" w:rsidP="00FF52FF">
      <w:pPr>
        <w:pStyle w:val="1"/>
        <w:spacing w:beforeLines="50" w:before="120" w:afterLines="50" w:after="120" w:line="360" w:lineRule="auto"/>
        <w:ind w:left="0"/>
        <w:jc w:val="center"/>
      </w:pPr>
      <w:r>
        <w:t>第三章</w:t>
      </w:r>
      <w:r w:rsidR="002B241A">
        <w:rPr>
          <w:rFonts w:hint="eastAsia"/>
        </w:rPr>
        <w:t xml:space="preserve"> </w:t>
      </w:r>
      <w:r w:rsidR="002B241A">
        <w:t xml:space="preserve"> </w:t>
      </w:r>
      <w:r>
        <w:t>募集资金使用</w:t>
      </w:r>
    </w:p>
    <w:p w:rsidR="00BC17E8" w:rsidRDefault="006F32FC">
      <w:pPr>
        <w:pStyle w:val="a5"/>
        <w:tabs>
          <w:tab w:val="left" w:pos="1548"/>
        </w:tabs>
        <w:spacing w:line="360" w:lineRule="auto"/>
        <w:ind w:right="283" w:firstLine="481"/>
      </w:pPr>
      <w:r>
        <w:rPr>
          <w:b/>
          <w:bCs/>
        </w:rPr>
        <w:t xml:space="preserve">第六条 </w:t>
      </w:r>
      <w:r>
        <w:t>公司应当按照发行申请文件中承诺的募集资金投资计划使用募集资金。出现严重影响募集资金投资计划正常进行的情形时，公司应当及时公告。</w:t>
      </w:r>
    </w:p>
    <w:p w:rsidR="00BC17E8" w:rsidRDefault="006F32FC">
      <w:pPr>
        <w:pStyle w:val="a5"/>
        <w:tabs>
          <w:tab w:val="left" w:pos="1548"/>
        </w:tabs>
        <w:spacing w:line="360" w:lineRule="auto"/>
        <w:ind w:right="282" w:firstLine="481"/>
      </w:pPr>
      <w:r>
        <w:rPr>
          <w:b/>
          <w:bCs/>
        </w:rPr>
        <w:t xml:space="preserve">第七条 </w:t>
      </w:r>
      <w:r>
        <w:t>公司募集资金</w:t>
      </w:r>
      <w:r>
        <w:rPr>
          <w:rFonts w:hint="eastAsia"/>
        </w:rPr>
        <w:t>原则上应当用于公司主营业务，</w:t>
      </w:r>
      <w:r w:rsidR="001204AB" w:rsidRPr="001204AB">
        <w:rPr>
          <w:rFonts w:hint="eastAsia"/>
        </w:rPr>
        <w:t>募集资金投资项目不得为持有交易性金融资产和可供出售的金融资产、借予他人、委托理财等财务性投资</w:t>
      </w:r>
      <w:r>
        <w:rPr>
          <w:rFonts w:hint="eastAsia"/>
        </w:rPr>
        <w:t>，也不得直接或者间接投资于以买卖有价证券为主要业务的公司。</w:t>
      </w:r>
    </w:p>
    <w:p w:rsidR="00BC17E8" w:rsidRDefault="006F32FC">
      <w:pPr>
        <w:pStyle w:val="a5"/>
        <w:spacing w:line="360" w:lineRule="auto"/>
        <w:ind w:left="587"/>
      </w:pPr>
      <w:r>
        <w:t>公司不得将募集资金用于质押、委托贷款或其他变相改变募集资金用途的投资。</w:t>
      </w:r>
    </w:p>
    <w:p w:rsidR="00BC17E8" w:rsidRDefault="006F32FC">
      <w:pPr>
        <w:pStyle w:val="a5"/>
        <w:tabs>
          <w:tab w:val="left" w:pos="1548"/>
        </w:tabs>
        <w:spacing w:line="360" w:lineRule="auto"/>
        <w:ind w:right="108" w:firstLine="481"/>
      </w:pPr>
      <w:r>
        <w:rPr>
          <w:b/>
          <w:bCs/>
        </w:rPr>
        <w:t xml:space="preserve">第八条 </w:t>
      </w:r>
      <w:r>
        <w:t>公司应当确保募集资金使用的真实性和公允性，防止募集资金被控股股东、实际控制人等关联人占用或挪用，并采取有效措施避免关联人利用募集资金投资项目获取不正当利益。</w:t>
      </w:r>
    </w:p>
    <w:p w:rsidR="009B2C58" w:rsidRDefault="001204AB">
      <w:pPr>
        <w:pStyle w:val="a5"/>
        <w:spacing w:line="360" w:lineRule="auto"/>
        <w:ind w:leftChars="64" w:left="141" w:firstLineChars="184" w:firstLine="442"/>
      </w:pPr>
      <w:r w:rsidRPr="001204AB">
        <w:rPr>
          <w:rFonts w:hint="eastAsia"/>
        </w:rPr>
        <w:t>公司发现控股股东、实际控制人及其他关联人占用募集资金的，应当及时要求归还，并披露占用发生的原因、对公司的影响、清偿整改方案及整改进展情况。</w:t>
      </w:r>
    </w:p>
    <w:p w:rsidR="009B2C58" w:rsidRDefault="001204AB" w:rsidP="008D0CD5">
      <w:pPr>
        <w:pStyle w:val="a5"/>
        <w:spacing w:line="360" w:lineRule="auto"/>
        <w:ind w:leftChars="64" w:left="141" w:firstLineChars="184" w:firstLine="442"/>
      </w:pPr>
      <w:r w:rsidRPr="001204AB">
        <w:rPr>
          <w:rFonts w:hint="eastAsia"/>
        </w:rPr>
        <w:t>公司的董事和高级管理人员应当勤勉尽</w:t>
      </w:r>
      <w:r w:rsidR="006F2987">
        <w:rPr>
          <w:rFonts w:hint="eastAsia"/>
        </w:rPr>
        <w:t>责，确保</w:t>
      </w:r>
      <w:r w:rsidRPr="001204AB">
        <w:rPr>
          <w:rFonts w:hint="eastAsia"/>
        </w:rPr>
        <w:t>公司募集资金安全，不得操控上市公司擅自或者变相改变募集资金用途。</w:t>
      </w:r>
    </w:p>
    <w:p w:rsidR="00BC17E8" w:rsidRDefault="006F32FC">
      <w:pPr>
        <w:pStyle w:val="a5"/>
        <w:spacing w:line="360" w:lineRule="auto"/>
        <w:ind w:right="283" w:firstLine="481"/>
        <w:jc w:val="both"/>
      </w:pPr>
      <w:r>
        <w:rPr>
          <w:b/>
          <w:bCs/>
        </w:rPr>
        <w:t xml:space="preserve">第九条 </w:t>
      </w:r>
      <w:r>
        <w:t>公司使用募集资金时应严格按照《公司章程》及财务管理制度履行申请和</w:t>
      </w:r>
      <w:r>
        <w:lastRenderedPageBreak/>
        <w:t>分级审批手续，由使用部门（单位）填写申请单，经财务负责人审核，由总经理或董事长审批同意后由财务部门执行。</w:t>
      </w:r>
    </w:p>
    <w:p w:rsidR="00BC17E8" w:rsidRDefault="006F32FC">
      <w:pPr>
        <w:pStyle w:val="a5"/>
        <w:spacing w:line="360" w:lineRule="auto"/>
        <w:ind w:right="225" w:firstLine="481"/>
        <w:jc w:val="both"/>
      </w:pPr>
      <w:r>
        <w:rPr>
          <w:b/>
          <w:bCs/>
        </w:rPr>
        <w:t xml:space="preserve">第十条 </w:t>
      </w:r>
      <w:r>
        <w:t>募集资金投资项目出现以下情形的，公司应当对该项目的可行性、预计收益等</w:t>
      </w:r>
      <w:r w:rsidR="001204AB" w:rsidRPr="001204AB">
        <w:rPr>
          <w:rFonts w:hint="eastAsia"/>
        </w:rPr>
        <w:t>重新进行论证</w:t>
      </w:r>
      <w:r>
        <w:t>，决定是否继续实施该项目：</w:t>
      </w:r>
    </w:p>
    <w:p w:rsidR="00BC17E8" w:rsidRDefault="006F32FC">
      <w:pPr>
        <w:pStyle w:val="a5"/>
        <w:spacing w:line="360" w:lineRule="auto"/>
        <w:ind w:left="587"/>
      </w:pPr>
      <w:r>
        <w:t>（一）募集资金投资项目涉及的市场环境发生重大变化的；</w:t>
      </w:r>
    </w:p>
    <w:p w:rsidR="00BC17E8" w:rsidRDefault="006F32FC">
      <w:pPr>
        <w:pStyle w:val="a5"/>
        <w:spacing w:line="360" w:lineRule="auto"/>
        <w:ind w:left="587"/>
      </w:pPr>
      <w:r>
        <w:t>（二）</w:t>
      </w:r>
      <w:r w:rsidR="001204AB" w:rsidRPr="001204AB">
        <w:rPr>
          <w:rFonts w:hint="eastAsia"/>
        </w:rPr>
        <w:t>募集资金到账后，</w:t>
      </w:r>
      <w:r>
        <w:t>募集资金投资项目搁置时间超过一年的；</w:t>
      </w:r>
    </w:p>
    <w:p w:rsidR="00BC17E8" w:rsidRDefault="006F32FC">
      <w:pPr>
        <w:pStyle w:val="a5"/>
        <w:spacing w:line="360" w:lineRule="auto"/>
        <w:ind w:right="284" w:firstLine="481"/>
      </w:pPr>
      <w:r>
        <w:t>（三）超过最近一次募集资金投资计划的完成期限且募集资金投入金额未达到相关计划金额50%的；</w:t>
      </w:r>
    </w:p>
    <w:p w:rsidR="00BC17E8" w:rsidRDefault="006F32FC">
      <w:pPr>
        <w:pStyle w:val="a5"/>
        <w:spacing w:line="360" w:lineRule="auto"/>
        <w:ind w:left="587"/>
      </w:pPr>
      <w:r>
        <w:t>（四）募集资金投资项目出现</w:t>
      </w:r>
      <w:r w:rsidR="006F2987">
        <w:t>其他</w:t>
      </w:r>
      <w:r>
        <w:t>异常情形</w:t>
      </w:r>
      <w:r w:rsidR="006F2987">
        <w:t>的</w:t>
      </w:r>
      <w:r>
        <w:t>。</w:t>
      </w:r>
    </w:p>
    <w:p w:rsidR="009B2C58" w:rsidRDefault="001204AB">
      <w:pPr>
        <w:pStyle w:val="a5"/>
        <w:spacing w:line="360" w:lineRule="auto"/>
        <w:ind w:leftChars="64" w:left="141" w:firstLineChars="184" w:firstLine="442"/>
      </w:pPr>
      <w:r w:rsidRPr="001204AB">
        <w:rPr>
          <w:rFonts w:hint="eastAsia"/>
        </w:rPr>
        <w:t>公司存在前款规定情形的，应当及时披露。需要调整募集资金投资计划的，应当同时披露调整后的募集资金投资计划；涉及改变募集资金投资项目的，适用改变募集资金用途的相关审议程序。</w:t>
      </w:r>
    </w:p>
    <w:p w:rsidR="009B2C58" w:rsidRDefault="001204AB">
      <w:pPr>
        <w:pStyle w:val="a5"/>
        <w:spacing w:line="360" w:lineRule="auto"/>
        <w:ind w:leftChars="64" w:left="141" w:firstLineChars="184" w:firstLine="442"/>
      </w:pPr>
      <w:r w:rsidRPr="001204AB">
        <w:rPr>
          <w:rFonts w:hint="eastAsia"/>
        </w:rPr>
        <w:t>公司应当在最近一期定期报告中披露报告期内</w:t>
      </w:r>
      <w:proofErr w:type="gramStart"/>
      <w:r w:rsidRPr="001204AB">
        <w:rPr>
          <w:rFonts w:hint="eastAsia"/>
        </w:rPr>
        <w:t>募投项目</w:t>
      </w:r>
      <w:proofErr w:type="gramEnd"/>
      <w:r w:rsidRPr="001204AB">
        <w:rPr>
          <w:rFonts w:hint="eastAsia"/>
        </w:rPr>
        <w:t>重新论证的具体情况。</w:t>
      </w:r>
    </w:p>
    <w:p w:rsidR="00D234E1" w:rsidRPr="00D234E1" w:rsidRDefault="00D234E1" w:rsidP="00D234E1">
      <w:pPr>
        <w:pStyle w:val="a5"/>
        <w:spacing w:line="360" w:lineRule="auto"/>
        <w:ind w:right="225" w:firstLine="481"/>
        <w:jc w:val="both"/>
        <w:rPr>
          <w:bCs/>
        </w:rPr>
      </w:pPr>
      <w:r w:rsidRPr="00D234E1">
        <w:rPr>
          <w:rFonts w:hint="eastAsia"/>
          <w:b/>
          <w:bCs/>
        </w:rPr>
        <w:t>第十一条</w:t>
      </w:r>
      <w:r>
        <w:rPr>
          <w:rFonts w:hint="eastAsia"/>
          <w:b/>
          <w:bCs/>
        </w:rPr>
        <w:t xml:space="preserve"> </w:t>
      </w:r>
      <w:r w:rsidRPr="00D234E1">
        <w:rPr>
          <w:rFonts w:hint="eastAsia"/>
          <w:bCs/>
        </w:rPr>
        <w:t>公司将募集资金用作下列事项时，应当经董事会审议通过，并由保荐人或者独立财务顾问发表明确意见后及时披露：</w:t>
      </w:r>
    </w:p>
    <w:p w:rsidR="00D234E1" w:rsidRPr="00D234E1" w:rsidRDefault="00D234E1" w:rsidP="00D234E1">
      <w:pPr>
        <w:pStyle w:val="a5"/>
        <w:spacing w:line="360" w:lineRule="auto"/>
        <w:ind w:right="225" w:firstLine="481"/>
        <w:jc w:val="both"/>
        <w:rPr>
          <w:bCs/>
        </w:rPr>
      </w:pPr>
      <w:r w:rsidRPr="00D234E1">
        <w:rPr>
          <w:rFonts w:hint="eastAsia"/>
          <w:bCs/>
        </w:rPr>
        <w:t>（一）以募集资金置换预先已投入募集资金投资项目的自有资金；</w:t>
      </w:r>
    </w:p>
    <w:p w:rsidR="00D234E1" w:rsidRPr="00D234E1" w:rsidRDefault="00D234E1" w:rsidP="00D234E1">
      <w:pPr>
        <w:pStyle w:val="a5"/>
        <w:spacing w:line="360" w:lineRule="auto"/>
        <w:ind w:right="225" w:firstLine="481"/>
        <w:jc w:val="both"/>
        <w:rPr>
          <w:bCs/>
        </w:rPr>
      </w:pPr>
      <w:r w:rsidRPr="00D234E1">
        <w:rPr>
          <w:rFonts w:hint="eastAsia"/>
          <w:bCs/>
        </w:rPr>
        <w:t>（二）使用暂时闲置的募集资金进行现金管理；</w:t>
      </w:r>
    </w:p>
    <w:p w:rsidR="00D234E1" w:rsidRPr="00D234E1" w:rsidRDefault="00D234E1" w:rsidP="00D234E1">
      <w:pPr>
        <w:pStyle w:val="a5"/>
        <w:spacing w:line="360" w:lineRule="auto"/>
        <w:ind w:right="225" w:firstLine="481"/>
        <w:jc w:val="both"/>
        <w:rPr>
          <w:bCs/>
        </w:rPr>
      </w:pPr>
      <w:r w:rsidRPr="00D234E1">
        <w:rPr>
          <w:rFonts w:hint="eastAsia"/>
          <w:bCs/>
        </w:rPr>
        <w:t>（三）使用暂时闲置的募集资金临时补充流动资金；</w:t>
      </w:r>
    </w:p>
    <w:p w:rsidR="00D234E1" w:rsidRPr="00D234E1" w:rsidRDefault="00D234E1" w:rsidP="00D234E1">
      <w:pPr>
        <w:pStyle w:val="a5"/>
        <w:spacing w:line="360" w:lineRule="auto"/>
        <w:ind w:right="225" w:firstLine="481"/>
        <w:jc w:val="both"/>
        <w:rPr>
          <w:bCs/>
        </w:rPr>
      </w:pPr>
      <w:r w:rsidRPr="00D234E1">
        <w:rPr>
          <w:rFonts w:hint="eastAsia"/>
          <w:bCs/>
        </w:rPr>
        <w:t>（四）改变募集资金用途；</w:t>
      </w:r>
    </w:p>
    <w:p w:rsidR="00D234E1" w:rsidRPr="00D234E1" w:rsidRDefault="00D234E1" w:rsidP="00D234E1">
      <w:pPr>
        <w:pStyle w:val="a5"/>
        <w:spacing w:line="360" w:lineRule="auto"/>
        <w:ind w:right="225" w:firstLine="481"/>
        <w:jc w:val="both"/>
        <w:rPr>
          <w:bCs/>
        </w:rPr>
      </w:pPr>
      <w:r w:rsidRPr="00D234E1">
        <w:rPr>
          <w:rFonts w:hint="eastAsia"/>
          <w:bCs/>
        </w:rPr>
        <w:t>（五）改变募集资金投资项目实施地点；</w:t>
      </w:r>
    </w:p>
    <w:p w:rsidR="00D234E1" w:rsidRPr="00D234E1" w:rsidRDefault="00D234E1" w:rsidP="00D234E1">
      <w:pPr>
        <w:pStyle w:val="a5"/>
        <w:spacing w:line="360" w:lineRule="auto"/>
        <w:ind w:right="225" w:firstLine="481"/>
        <w:jc w:val="both"/>
        <w:rPr>
          <w:bCs/>
        </w:rPr>
      </w:pPr>
      <w:r w:rsidRPr="00D234E1">
        <w:rPr>
          <w:rFonts w:hint="eastAsia"/>
          <w:bCs/>
        </w:rPr>
        <w:t>（六）使用节余募集资金；</w:t>
      </w:r>
    </w:p>
    <w:p w:rsidR="00D234E1" w:rsidRPr="00D234E1" w:rsidRDefault="00D234E1" w:rsidP="00D234E1">
      <w:pPr>
        <w:pStyle w:val="a5"/>
        <w:spacing w:line="360" w:lineRule="auto"/>
        <w:ind w:right="225" w:firstLine="481"/>
        <w:jc w:val="both"/>
        <w:rPr>
          <w:bCs/>
        </w:rPr>
      </w:pPr>
      <w:r w:rsidRPr="00D234E1">
        <w:rPr>
          <w:rFonts w:hint="eastAsia"/>
          <w:bCs/>
        </w:rPr>
        <w:t>（七）超募资金用于在建项目及新项目、回购本公司股份并依法注销。</w:t>
      </w:r>
    </w:p>
    <w:p w:rsidR="00D234E1" w:rsidRPr="00D234E1" w:rsidRDefault="00D234E1" w:rsidP="00D234E1">
      <w:pPr>
        <w:pStyle w:val="a5"/>
        <w:spacing w:line="360" w:lineRule="auto"/>
        <w:ind w:right="225" w:firstLine="481"/>
        <w:jc w:val="both"/>
        <w:rPr>
          <w:bCs/>
        </w:rPr>
      </w:pPr>
      <w:r w:rsidRPr="00D234E1">
        <w:rPr>
          <w:rFonts w:hint="eastAsia"/>
          <w:bCs/>
        </w:rPr>
        <w:t>公司改变募集资金用途和使用超募资金，以及使用节余募集资金达到股东会审议标准的，还应当经股东会审议通过。</w:t>
      </w:r>
    </w:p>
    <w:p w:rsidR="00D234E1" w:rsidRPr="00D234E1" w:rsidRDefault="00D234E1" w:rsidP="00D234E1">
      <w:pPr>
        <w:pStyle w:val="a5"/>
        <w:spacing w:line="360" w:lineRule="auto"/>
        <w:ind w:right="225" w:firstLine="481"/>
        <w:jc w:val="both"/>
        <w:rPr>
          <w:bCs/>
        </w:rPr>
      </w:pPr>
      <w:r w:rsidRPr="00D234E1">
        <w:rPr>
          <w:rFonts w:hint="eastAsia"/>
          <w:bCs/>
        </w:rPr>
        <w:t>相关事项涉及关联交易、购买资产、对外投资等的，还应当按照《股票上市规则》的规定履行审议程序和信息披露义务。</w:t>
      </w:r>
    </w:p>
    <w:p w:rsidR="009B2C58" w:rsidRDefault="006F32FC">
      <w:pPr>
        <w:pStyle w:val="a5"/>
        <w:spacing w:line="360" w:lineRule="auto"/>
        <w:ind w:leftChars="64" w:left="141" w:firstLineChars="184" w:firstLine="443"/>
      </w:pPr>
      <w:r>
        <w:rPr>
          <w:b/>
          <w:bCs/>
        </w:rPr>
        <w:t>第十</w:t>
      </w:r>
      <w:r w:rsidR="00C40769">
        <w:rPr>
          <w:rFonts w:hint="eastAsia"/>
          <w:b/>
          <w:bCs/>
          <w:lang w:val="en-US"/>
        </w:rPr>
        <w:t>二</w:t>
      </w:r>
      <w:r>
        <w:rPr>
          <w:b/>
          <w:bCs/>
        </w:rPr>
        <w:t>条</w:t>
      </w:r>
      <w:r w:rsidR="002B241A">
        <w:rPr>
          <w:rFonts w:hint="eastAsia"/>
          <w:b/>
          <w:bCs/>
        </w:rPr>
        <w:t xml:space="preserve"> </w:t>
      </w:r>
      <w:r w:rsidR="001204AB" w:rsidRPr="001204AB">
        <w:rPr>
          <w:rFonts w:hint="eastAsia"/>
        </w:rPr>
        <w:t>公司以自筹资金预先投入募集资金投资项目，募集资金到位后以募集资金置换自筹资金的，应当在募集资金转入专项账户后六个月内实施。</w:t>
      </w:r>
    </w:p>
    <w:p w:rsidR="009B2C58" w:rsidRDefault="001204AB">
      <w:pPr>
        <w:pStyle w:val="a5"/>
        <w:spacing w:line="360" w:lineRule="auto"/>
        <w:ind w:leftChars="64" w:left="141" w:firstLineChars="184" w:firstLine="442"/>
      </w:pPr>
      <w:r w:rsidRPr="001204AB">
        <w:rPr>
          <w:rFonts w:hint="eastAsia"/>
        </w:rPr>
        <w:t>募集资金投资项目实施过程中，原则上应当以募集资金直接支付，在支付人员薪酬、购买境外产品设备等事项中以募集资金直接支付确有困难的，可以在以自筹资金支付后六个月内实施置换。</w:t>
      </w:r>
    </w:p>
    <w:p w:rsidR="009B2C58" w:rsidRDefault="006F2987">
      <w:pPr>
        <w:pStyle w:val="a5"/>
        <w:spacing w:line="360" w:lineRule="auto"/>
        <w:ind w:leftChars="64" w:left="141" w:firstLineChars="184" w:firstLine="442"/>
      </w:pPr>
      <w:r>
        <w:rPr>
          <w:rFonts w:hint="eastAsia"/>
        </w:rPr>
        <w:lastRenderedPageBreak/>
        <w:t>募集资金置换事项应当经</w:t>
      </w:r>
      <w:r w:rsidR="001204AB" w:rsidRPr="001204AB">
        <w:rPr>
          <w:rFonts w:hint="eastAsia"/>
        </w:rPr>
        <w:t>公司董事会审议通过，保</w:t>
      </w:r>
      <w:r>
        <w:rPr>
          <w:rFonts w:hint="eastAsia"/>
        </w:rPr>
        <w:t>荐机构应当发表明确意见，</w:t>
      </w:r>
      <w:r w:rsidR="001204AB" w:rsidRPr="001204AB">
        <w:rPr>
          <w:rFonts w:hint="eastAsia"/>
        </w:rPr>
        <w:t>公司应当及时披露相关信息。</w:t>
      </w:r>
    </w:p>
    <w:p w:rsidR="00BC17E8" w:rsidRDefault="006F32FC">
      <w:pPr>
        <w:pStyle w:val="a5"/>
        <w:tabs>
          <w:tab w:val="left" w:pos="1878"/>
        </w:tabs>
        <w:spacing w:line="360" w:lineRule="auto"/>
        <w:ind w:left="677"/>
      </w:pPr>
      <w:r>
        <w:rPr>
          <w:b/>
          <w:bCs/>
        </w:rPr>
        <w:t>第十</w:t>
      </w:r>
      <w:r w:rsidR="00C40769">
        <w:rPr>
          <w:rFonts w:hint="eastAsia"/>
          <w:b/>
          <w:bCs/>
        </w:rPr>
        <w:t>三</w:t>
      </w:r>
      <w:r>
        <w:rPr>
          <w:b/>
          <w:bCs/>
        </w:rPr>
        <w:t xml:space="preserve">条 </w:t>
      </w:r>
      <w:r>
        <w:t>闲置募集资金的使用</w:t>
      </w:r>
    </w:p>
    <w:p w:rsidR="00AA4922" w:rsidRPr="00AA4922" w:rsidRDefault="006F32FC" w:rsidP="00AA4922">
      <w:pPr>
        <w:pStyle w:val="a5"/>
        <w:spacing w:line="360" w:lineRule="auto"/>
        <w:ind w:right="231" w:firstLine="421"/>
      </w:pPr>
      <w:r>
        <w:t>（一）</w:t>
      </w:r>
      <w:r w:rsidR="00AA4922" w:rsidRPr="00AA4922">
        <w:rPr>
          <w:rFonts w:hint="eastAsia"/>
        </w:rPr>
        <w:t>公司可以对暂时闲置的募集资金进行现金管理， 现金管理应当通过募集资金专项账户或者公开披露的产品专用结算账户实施。通过产品专用结算账户实施现金管理的，该账户不得存放非募集资金或者用作其他用途。实施现金管理不得影响募集资金投资计划正常进行。</w:t>
      </w:r>
    </w:p>
    <w:p w:rsidR="00AA4922" w:rsidRPr="00AA4922" w:rsidRDefault="00AA4922" w:rsidP="00AA4922">
      <w:pPr>
        <w:pStyle w:val="a5"/>
        <w:spacing w:line="360" w:lineRule="auto"/>
        <w:ind w:right="231" w:firstLine="421"/>
      </w:pPr>
      <w:r w:rsidRPr="00AA4922">
        <w:rPr>
          <w:rFonts w:hint="eastAsia"/>
        </w:rPr>
        <w:t>现金管理产品应当符合以下条件：</w:t>
      </w:r>
      <w:r w:rsidRPr="00AA4922">
        <w:rPr>
          <w:rFonts w:hint="eastAsia"/>
        </w:rPr>
        <w:t> </w:t>
      </w:r>
      <w:r w:rsidRPr="00AA4922">
        <w:rPr>
          <w:rFonts w:hint="eastAsia"/>
        </w:rPr>
        <w:t> </w:t>
      </w:r>
    </w:p>
    <w:p w:rsidR="00AA4922" w:rsidRPr="00AA4922" w:rsidRDefault="00AA4922" w:rsidP="00AA4922">
      <w:pPr>
        <w:pStyle w:val="a5"/>
        <w:spacing w:line="360" w:lineRule="auto"/>
        <w:ind w:right="231" w:firstLine="421"/>
      </w:pPr>
      <w:r>
        <w:rPr>
          <w:rFonts w:hint="eastAsia"/>
        </w:rPr>
        <w:t>1</w:t>
      </w:r>
      <w:r w:rsidR="00FF52FF">
        <w:rPr>
          <w:rFonts w:hint="eastAsia"/>
        </w:rPr>
        <w:t>.</w:t>
      </w:r>
      <w:r w:rsidRPr="00AA4922">
        <w:rPr>
          <w:rFonts w:hint="eastAsia"/>
        </w:rPr>
        <w:t>属于结构性存款、大额存单等安全性高的产品，不得为非保本型；</w:t>
      </w:r>
      <w:r w:rsidRPr="00AA4922">
        <w:rPr>
          <w:rFonts w:hint="eastAsia"/>
        </w:rPr>
        <w:t> </w:t>
      </w:r>
      <w:r w:rsidRPr="00AA4922">
        <w:rPr>
          <w:rFonts w:hint="eastAsia"/>
        </w:rPr>
        <w:t> </w:t>
      </w:r>
    </w:p>
    <w:p w:rsidR="00AA4922" w:rsidRPr="00AA4922" w:rsidRDefault="00AA4922" w:rsidP="00AA4922">
      <w:pPr>
        <w:pStyle w:val="a5"/>
        <w:spacing w:line="360" w:lineRule="auto"/>
        <w:ind w:right="231" w:firstLine="421"/>
      </w:pPr>
      <w:r>
        <w:rPr>
          <w:rFonts w:hint="eastAsia"/>
        </w:rPr>
        <w:t>2</w:t>
      </w:r>
      <w:r w:rsidR="00FF52FF">
        <w:rPr>
          <w:rFonts w:hint="eastAsia"/>
        </w:rPr>
        <w:t>.</w:t>
      </w:r>
      <w:r w:rsidRPr="00AA4922">
        <w:rPr>
          <w:rFonts w:hint="eastAsia"/>
        </w:rPr>
        <w:t>流动性好，产品期限不得超过十二个月；</w:t>
      </w:r>
      <w:r w:rsidRPr="00AA4922">
        <w:rPr>
          <w:rFonts w:hint="eastAsia"/>
        </w:rPr>
        <w:t> </w:t>
      </w:r>
      <w:r w:rsidRPr="00AA4922">
        <w:rPr>
          <w:rFonts w:hint="eastAsia"/>
        </w:rPr>
        <w:t> </w:t>
      </w:r>
    </w:p>
    <w:p w:rsidR="00AA4922" w:rsidRDefault="00AA4922" w:rsidP="00AA4922">
      <w:pPr>
        <w:pStyle w:val="a5"/>
        <w:spacing w:line="360" w:lineRule="auto"/>
        <w:ind w:right="231" w:firstLine="421"/>
      </w:pPr>
      <w:r>
        <w:rPr>
          <w:rFonts w:hint="eastAsia"/>
        </w:rPr>
        <w:t>3</w:t>
      </w:r>
      <w:r w:rsidR="00FF52FF">
        <w:rPr>
          <w:rFonts w:hint="eastAsia"/>
        </w:rPr>
        <w:t>.</w:t>
      </w:r>
      <w:r w:rsidRPr="00AA4922">
        <w:rPr>
          <w:rFonts w:hint="eastAsia"/>
        </w:rPr>
        <w:t>现金管理产品不得质押。</w:t>
      </w:r>
    </w:p>
    <w:p w:rsidR="00BC17E8" w:rsidRDefault="006F32FC">
      <w:pPr>
        <w:pStyle w:val="a5"/>
        <w:spacing w:line="360" w:lineRule="auto"/>
        <w:ind w:right="231" w:firstLine="421"/>
      </w:pPr>
      <w:r>
        <w:t>（二）</w:t>
      </w:r>
      <w:r w:rsidR="00AA4922" w:rsidRPr="00AA4922">
        <w:rPr>
          <w:rFonts w:hint="eastAsia"/>
        </w:rPr>
        <w:t>公司使用暂时闲置的募集资金进行现金管理的，应当经董事会审议通过，保荐机构应当发表明确意见，公司应当及时披露下列信息</w:t>
      </w:r>
      <w:r>
        <w:t>：</w:t>
      </w:r>
    </w:p>
    <w:p w:rsidR="00AA4922" w:rsidRPr="00AA4922" w:rsidRDefault="00AA4922" w:rsidP="00AA4922">
      <w:pPr>
        <w:pStyle w:val="a5"/>
        <w:spacing w:line="360" w:lineRule="auto"/>
        <w:ind w:right="231" w:firstLine="421"/>
      </w:pPr>
      <w:r>
        <w:rPr>
          <w:rFonts w:hint="eastAsia"/>
        </w:rPr>
        <w:t>1</w:t>
      </w:r>
      <w:r w:rsidR="00FF52FF">
        <w:rPr>
          <w:rFonts w:hint="eastAsia"/>
        </w:rPr>
        <w:t>.</w:t>
      </w:r>
      <w:r w:rsidRPr="00AA4922">
        <w:rPr>
          <w:rFonts w:hint="eastAsia"/>
        </w:rPr>
        <w:t>本次募集资金的基本情况，包括募集时间、募集资金金额、募集资金净额、投资计划等；</w:t>
      </w:r>
    </w:p>
    <w:p w:rsidR="00AA4922" w:rsidRPr="00AA4922" w:rsidRDefault="00AA4922" w:rsidP="00AA4922">
      <w:pPr>
        <w:pStyle w:val="a5"/>
        <w:spacing w:line="360" w:lineRule="auto"/>
        <w:ind w:right="231" w:firstLine="421"/>
      </w:pPr>
      <w:r>
        <w:rPr>
          <w:rFonts w:hint="eastAsia"/>
        </w:rPr>
        <w:t>2</w:t>
      </w:r>
      <w:r w:rsidR="00FF52FF">
        <w:rPr>
          <w:rFonts w:hint="eastAsia"/>
        </w:rPr>
        <w:t>.</w:t>
      </w:r>
      <w:r w:rsidRPr="00AA4922">
        <w:rPr>
          <w:rFonts w:hint="eastAsia"/>
        </w:rPr>
        <w:t>募集资金使用情况；</w:t>
      </w:r>
    </w:p>
    <w:p w:rsidR="00AA4922" w:rsidRPr="00AA4922" w:rsidRDefault="00AA4922" w:rsidP="00AA4922">
      <w:pPr>
        <w:pStyle w:val="a5"/>
        <w:spacing w:line="360" w:lineRule="auto"/>
        <w:ind w:right="231" w:firstLine="421"/>
      </w:pPr>
      <w:r>
        <w:rPr>
          <w:rFonts w:hint="eastAsia"/>
        </w:rPr>
        <w:t>3</w:t>
      </w:r>
      <w:r w:rsidR="00FF52FF">
        <w:rPr>
          <w:rFonts w:hint="eastAsia"/>
        </w:rPr>
        <w:t>.</w:t>
      </w:r>
      <w:r w:rsidRPr="00AA4922">
        <w:rPr>
          <w:rFonts w:hint="eastAsia"/>
        </w:rPr>
        <w:t>现金管理的额度及期限，是否存在变相改变募集资金用途的行为和保证不影响募集资金投资项目正常进行的措施；</w:t>
      </w:r>
    </w:p>
    <w:p w:rsidR="00AA4922" w:rsidRPr="00AA4922" w:rsidRDefault="00AA4922" w:rsidP="00AA4922">
      <w:pPr>
        <w:pStyle w:val="a5"/>
        <w:spacing w:line="360" w:lineRule="auto"/>
        <w:ind w:right="231" w:firstLine="421"/>
      </w:pPr>
      <w:r>
        <w:rPr>
          <w:rFonts w:hint="eastAsia"/>
        </w:rPr>
        <w:t>4</w:t>
      </w:r>
      <w:r w:rsidR="00FF52FF">
        <w:rPr>
          <w:rFonts w:hint="eastAsia"/>
        </w:rPr>
        <w:t>.</w:t>
      </w:r>
      <w:r w:rsidRPr="00AA4922">
        <w:rPr>
          <w:rFonts w:hint="eastAsia"/>
        </w:rPr>
        <w:t>现金管理产品的收益分配方式、投资范围及安全性；</w:t>
      </w:r>
    </w:p>
    <w:p w:rsidR="00AA4922" w:rsidRDefault="00AA4922" w:rsidP="00AA4922">
      <w:pPr>
        <w:pStyle w:val="a5"/>
        <w:spacing w:line="360" w:lineRule="auto"/>
        <w:ind w:right="231" w:firstLine="421"/>
      </w:pPr>
      <w:r>
        <w:rPr>
          <w:rFonts w:hint="eastAsia"/>
        </w:rPr>
        <w:t>5</w:t>
      </w:r>
      <w:r w:rsidR="00FF52FF">
        <w:rPr>
          <w:rFonts w:hint="eastAsia"/>
        </w:rPr>
        <w:t>.</w:t>
      </w:r>
      <w:r w:rsidRPr="00AA4922">
        <w:rPr>
          <w:rFonts w:hint="eastAsia"/>
        </w:rPr>
        <w:t>保荐机构出具的意见。</w:t>
      </w:r>
    </w:p>
    <w:p w:rsidR="00922C1D" w:rsidRDefault="006F32FC" w:rsidP="00922C1D">
      <w:pPr>
        <w:pStyle w:val="a5"/>
        <w:spacing w:line="360" w:lineRule="auto"/>
        <w:ind w:right="231" w:firstLine="421"/>
      </w:pPr>
      <w:r>
        <w:t>（三）</w:t>
      </w:r>
      <w:r w:rsidR="00922C1D" w:rsidRPr="00922C1D">
        <w:rPr>
          <w:rFonts w:hint="eastAsia"/>
        </w:rPr>
        <w:t>公司使用闲置募集资金临时补充流动资金的，应当通过募集资金专户实施，仅限于与主营业务相关的生产经营活动，且应当符合下列条件：</w:t>
      </w:r>
    </w:p>
    <w:p w:rsidR="00922C1D" w:rsidRPr="00922C1D" w:rsidRDefault="00922C1D" w:rsidP="00922C1D">
      <w:pPr>
        <w:pStyle w:val="a5"/>
        <w:spacing w:line="360" w:lineRule="auto"/>
        <w:ind w:right="231" w:firstLine="421"/>
      </w:pPr>
      <w:r>
        <w:rPr>
          <w:rFonts w:hint="eastAsia"/>
        </w:rPr>
        <w:t>1</w:t>
      </w:r>
      <w:r w:rsidR="00FF52FF">
        <w:rPr>
          <w:rFonts w:hint="eastAsia"/>
        </w:rPr>
        <w:t>.</w:t>
      </w:r>
      <w:r w:rsidRPr="00922C1D">
        <w:rPr>
          <w:rFonts w:hint="eastAsia"/>
        </w:rPr>
        <w:t>不得变相改变募集资金用途或者影响募集资金投资计划的正常进行；</w:t>
      </w:r>
    </w:p>
    <w:p w:rsidR="00922C1D" w:rsidRPr="00922C1D" w:rsidRDefault="00922C1D" w:rsidP="00922C1D">
      <w:pPr>
        <w:pStyle w:val="a5"/>
        <w:spacing w:line="360" w:lineRule="auto"/>
        <w:ind w:right="231" w:firstLine="421"/>
      </w:pPr>
      <w:r>
        <w:rPr>
          <w:rFonts w:hint="eastAsia"/>
        </w:rPr>
        <w:t>2</w:t>
      </w:r>
      <w:r w:rsidR="00FF52FF">
        <w:rPr>
          <w:rFonts w:hint="eastAsia"/>
        </w:rPr>
        <w:t>.</w:t>
      </w:r>
      <w:r w:rsidRPr="00922C1D">
        <w:rPr>
          <w:rFonts w:hint="eastAsia"/>
        </w:rPr>
        <w:t>已归还前次用于临时补充流动资金的募集资金；</w:t>
      </w:r>
    </w:p>
    <w:p w:rsidR="00922C1D" w:rsidRPr="00922C1D" w:rsidRDefault="00922C1D" w:rsidP="00922C1D">
      <w:pPr>
        <w:pStyle w:val="a5"/>
        <w:spacing w:line="360" w:lineRule="auto"/>
        <w:ind w:right="231" w:firstLine="421"/>
      </w:pPr>
      <w:r>
        <w:rPr>
          <w:rFonts w:hint="eastAsia"/>
        </w:rPr>
        <w:t>3</w:t>
      </w:r>
      <w:r w:rsidR="00FF52FF">
        <w:rPr>
          <w:rFonts w:hint="eastAsia"/>
        </w:rPr>
        <w:t>.</w:t>
      </w:r>
      <w:r w:rsidRPr="00922C1D">
        <w:rPr>
          <w:rFonts w:hint="eastAsia"/>
        </w:rPr>
        <w:t>单次临时补充流动资金时间不得超过十二个月；</w:t>
      </w:r>
    </w:p>
    <w:p w:rsidR="00AA4922" w:rsidRDefault="00922C1D" w:rsidP="00922C1D">
      <w:pPr>
        <w:pStyle w:val="a5"/>
        <w:spacing w:line="360" w:lineRule="auto"/>
        <w:ind w:right="231" w:firstLine="421"/>
      </w:pPr>
      <w:r>
        <w:rPr>
          <w:rFonts w:hint="eastAsia"/>
        </w:rPr>
        <w:t>4</w:t>
      </w:r>
      <w:r w:rsidR="00FF52FF">
        <w:rPr>
          <w:rFonts w:hint="eastAsia"/>
        </w:rPr>
        <w:t>.</w:t>
      </w:r>
      <w:r w:rsidRPr="00922C1D">
        <w:rPr>
          <w:rFonts w:hint="eastAsia"/>
        </w:rPr>
        <w:t>不使用闲置募集资金直接或者间接进行证券投资、衍生品交易等高风险投资。</w:t>
      </w:r>
    </w:p>
    <w:p w:rsidR="00922C1D" w:rsidRPr="00922C1D" w:rsidRDefault="00922C1D" w:rsidP="00922C1D">
      <w:pPr>
        <w:pStyle w:val="a5"/>
        <w:spacing w:line="360" w:lineRule="auto"/>
        <w:ind w:right="231" w:firstLine="421"/>
      </w:pPr>
      <w:r w:rsidRPr="00922C1D">
        <w:rPr>
          <w:rFonts w:hint="eastAsia"/>
        </w:rPr>
        <w:t>公司使用闲置募集资金临时补充流动资金的，应当在董事会审议通过后及时公告下列内容：</w:t>
      </w:r>
    </w:p>
    <w:p w:rsidR="00922C1D" w:rsidRDefault="00922C1D" w:rsidP="00922C1D">
      <w:pPr>
        <w:pStyle w:val="a5"/>
        <w:spacing w:line="360" w:lineRule="auto"/>
        <w:ind w:right="231" w:firstLine="421"/>
      </w:pPr>
      <w:r>
        <w:rPr>
          <w:rFonts w:hint="eastAsia"/>
        </w:rPr>
        <w:t>1</w:t>
      </w:r>
      <w:r w:rsidR="00FF52FF">
        <w:rPr>
          <w:rFonts w:hint="eastAsia"/>
        </w:rPr>
        <w:t>.</w:t>
      </w:r>
      <w:r w:rsidRPr="00922C1D">
        <w:rPr>
          <w:rFonts w:hint="eastAsia"/>
        </w:rPr>
        <w:t>本次募集资金的基本情况，包括募集资金到账时间、募集资金金额、募集资金净额及投资计划等；</w:t>
      </w:r>
    </w:p>
    <w:p w:rsidR="00922C1D" w:rsidRPr="00922C1D" w:rsidRDefault="00922C1D" w:rsidP="00922C1D">
      <w:pPr>
        <w:pStyle w:val="a5"/>
        <w:spacing w:line="360" w:lineRule="auto"/>
        <w:ind w:right="231" w:firstLine="421"/>
      </w:pPr>
      <w:r>
        <w:rPr>
          <w:rFonts w:hint="eastAsia"/>
        </w:rPr>
        <w:t>2</w:t>
      </w:r>
      <w:r w:rsidR="00FF52FF">
        <w:rPr>
          <w:rFonts w:hint="eastAsia"/>
        </w:rPr>
        <w:t>.</w:t>
      </w:r>
      <w:r w:rsidRPr="00922C1D">
        <w:rPr>
          <w:rFonts w:hint="eastAsia"/>
        </w:rPr>
        <w:t>募集资金使用情况；</w:t>
      </w:r>
    </w:p>
    <w:p w:rsidR="00922C1D" w:rsidRPr="00922C1D" w:rsidRDefault="00922C1D" w:rsidP="00922C1D">
      <w:pPr>
        <w:pStyle w:val="a5"/>
        <w:spacing w:line="360" w:lineRule="auto"/>
        <w:ind w:right="231" w:firstLine="421"/>
      </w:pPr>
      <w:r>
        <w:rPr>
          <w:rFonts w:hint="eastAsia"/>
        </w:rPr>
        <w:lastRenderedPageBreak/>
        <w:t>3</w:t>
      </w:r>
      <w:r w:rsidR="00FF52FF">
        <w:rPr>
          <w:rFonts w:hint="eastAsia"/>
        </w:rPr>
        <w:t>.</w:t>
      </w:r>
      <w:r w:rsidRPr="00922C1D">
        <w:rPr>
          <w:rFonts w:hint="eastAsia"/>
        </w:rPr>
        <w:t>闲置募集资金补充流动资金的金额及期限；</w:t>
      </w:r>
    </w:p>
    <w:p w:rsidR="00922C1D" w:rsidRPr="00922C1D" w:rsidRDefault="00922C1D" w:rsidP="00922C1D">
      <w:pPr>
        <w:pStyle w:val="a5"/>
        <w:spacing w:line="360" w:lineRule="auto"/>
        <w:ind w:right="231" w:firstLine="421"/>
      </w:pPr>
      <w:r>
        <w:rPr>
          <w:rFonts w:hint="eastAsia"/>
        </w:rPr>
        <w:t>4</w:t>
      </w:r>
      <w:r w:rsidR="00FF52FF">
        <w:rPr>
          <w:rFonts w:hint="eastAsia"/>
        </w:rPr>
        <w:t>.</w:t>
      </w:r>
      <w:r w:rsidRPr="00922C1D">
        <w:rPr>
          <w:rFonts w:hint="eastAsia"/>
        </w:rPr>
        <w:t>闲置募集资金补充流动资金预计节约财务费用的金额、导致流动资金不足的原因、是否存在变相改变募集资金用途的行为和保证不影响募集资金投资项目正常进行的措施；</w:t>
      </w:r>
    </w:p>
    <w:p w:rsidR="00922C1D" w:rsidRPr="00922C1D" w:rsidRDefault="00922C1D" w:rsidP="00922C1D">
      <w:pPr>
        <w:pStyle w:val="a5"/>
        <w:spacing w:line="360" w:lineRule="auto"/>
        <w:ind w:right="231" w:firstLine="421"/>
      </w:pPr>
      <w:r>
        <w:rPr>
          <w:rFonts w:hint="eastAsia"/>
        </w:rPr>
        <w:t>5</w:t>
      </w:r>
      <w:r w:rsidR="00FF52FF">
        <w:rPr>
          <w:rFonts w:hint="eastAsia"/>
        </w:rPr>
        <w:t>.</w:t>
      </w:r>
      <w:r w:rsidRPr="00922C1D">
        <w:rPr>
          <w:rFonts w:hint="eastAsia"/>
        </w:rPr>
        <w:t>保荐人或者独立财务顾问出具的意见；</w:t>
      </w:r>
    </w:p>
    <w:p w:rsidR="00922C1D" w:rsidRPr="00922C1D" w:rsidRDefault="00922C1D" w:rsidP="00922C1D">
      <w:pPr>
        <w:pStyle w:val="a5"/>
        <w:spacing w:line="360" w:lineRule="auto"/>
        <w:ind w:right="231" w:firstLine="421"/>
      </w:pPr>
      <w:r>
        <w:rPr>
          <w:rFonts w:hint="eastAsia"/>
        </w:rPr>
        <w:t>6</w:t>
      </w:r>
      <w:r w:rsidR="00FF52FF">
        <w:rPr>
          <w:rFonts w:hint="eastAsia"/>
        </w:rPr>
        <w:t>.</w:t>
      </w:r>
      <w:r>
        <w:rPr>
          <w:rFonts w:hint="eastAsia"/>
        </w:rPr>
        <w:t>深圳证券交易所</w:t>
      </w:r>
      <w:r w:rsidRPr="00922C1D">
        <w:rPr>
          <w:rFonts w:hint="eastAsia"/>
        </w:rPr>
        <w:t>要求的其他内容。</w:t>
      </w:r>
    </w:p>
    <w:p w:rsidR="00922C1D" w:rsidDel="00AA4922" w:rsidRDefault="00922C1D" w:rsidP="00922C1D">
      <w:pPr>
        <w:pStyle w:val="a5"/>
        <w:spacing w:line="360" w:lineRule="auto"/>
        <w:ind w:right="231" w:firstLine="421"/>
      </w:pPr>
      <w:r w:rsidRPr="00922C1D">
        <w:rPr>
          <w:rFonts w:hint="eastAsia"/>
        </w:rPr>
        <w:t>补充流动资金到期日之前，公司应当将该部分资金归还至募集资金专户，并在资金全部归还后及时公告。公司预计无法按期将该部分资金归还至募集资金专户的，应当在到期日前按照前款要求履行审议程序并及时公告，公告内容应当包括资金去向、无法归还的原因、继续用于补充流动资金的原因及期限等。</w:t>
      </w:r>
    </w:p>
    <w:p w:rsidR="00BF3637" w:rsidRDefault="008F4AF0" w:rsidP="00BF3637">
      <w:pPr>
        <w:pStyle w:val="a5"/>
        <w:spacing w:line="360" w:lineRule="auto"/>
        <w:ind w:right="228" w:firstLine="421"/>
        <w:jc w:val="both"/>
        <w:rPr>
          <w:b/>
          <w:bCs/>
        </w:rPr>
      </w:pPr>
      <w:r>
        <w:rPr>
          <w:rFonts w:hint="eastAsia"/>
          <w:b/>
          <w:bCs/>
        </w:rPr>
        <w:t>第十</w:t>
      </w:r>
      <w:r w:rsidR="00C40769">
        <w:rPr>
          <w:rFonts w:hint="eastAsia"/>
          <w:b/>
          <w:bCs/>
        </w:rPr>
        <w:t>四</w:t>
      </w:r>
      <w:r w:rsidR="00BF3637" w:rsidRPr="00BF3637">
        <w:rPr>
          <w:rFonts w:hint="eastAsia"/>
          <w:b/>
          <w:bCs/>
        </w:rPr>
        <w:t>条</w:t>
      </w:r>
      <w:r w:rsidR="00BF3637">
        <w:rPr>
          <w:rFonts w:hint="eastAsia"/>
          <w:b/>
          <w:bCs/>
        </w:rPr>
        <w:t xml:space="preserve"> </w:t>
      </w:r>
      <w:r w:rsidR="00BF3637" w:rsidRPr="00BF3637">
        <w:rPr>
          <w:rFonts w:hint="eastAsia"/>
          <w:bCs/>
        </w:rPr>
        <w:t>超募资金的使用</w:t>
      </w:r>
      <w:r w:rsidR="00FF52FF">
        <w:rPr>
          <w:rFonts w:hint="eastAsia"/>
          <w:bCs/>
        </w:rPr>
        <w:t>：</w:t>
      </w:r>
    </w:p>
    <w:p w:rsidR="00BF3637" w:rsidRDefault="00BF3637" w:rsidP="00FF52FF">
      <w:pPr>
        <w:pStyle w:val="a5"/>
        <w:spacing w:line="360" w:lineRule="auto"/>
        <w:ind w:right="231" w:firstLine="421"/>
        <w:jc w:val="both"/>
      </w:pPr>
      <w:r w:rsidRPr="00BF3637">
        <w:rPr>
          <w:rFonts w:hint="eastAsia"/>
        </w:rPr>
        <w:t>公司应当根据公司的发展规划及实际生产经营需求，妥善安排</w:t>
      </w:r>
      <w:r>
        <w:rPr>
          <w:rFonts w:hint="eastAsia"/>
        </w:rPr>
        <w:t>超募资金</w:t>
      </w:r>
      <w:r w:rsidRPr="00BF3637">
        <w:rPr>
          <w:rFonts w:hint="eastAsia"/>
        </w:rPr>
        <w:t>的使用计划。超募资金应当用于</w:t>
      </w:r>
      <w:r>
        <w:rPr>
          <w:rFonts w:hint="eastAsia"/>
        </w:rPr>
        <w:t>在建项目及新项目、回购本公司股份并依法注销。</w:t>
      </w:r>
      <w:r w:rsidRPr="00BF3637">
        <w:rPr>
          <w:rFonts w:hint="eastAsia"/>
        </w:rPr>
        <w:t>公司应当至迟于同一批次的</w:t>
      </w:r>
      <w:proofErr w:type="gramStart"/>
      <w:r w:rsidRPr="00BF3637">
        <w:rPr>
          <w:rFonts w:hint="eastAsia"/>
        </w:rPr>
        <w:t>募投项目整体结项时明确超募</w:t>
      </w:r>
      <w:proofErr w:type="gramEnd"/>
      <w:r w:rsidRPr="00BF3637">
        <w:rPr>
          <w:rFonts w:hint="eastAsia"/>
        </w:rPr>
        <w:t>资金的具体使用计划，并按计划投入使用。使用超募资金应当由董事会依法</w:t>
      </w:r>
      <w:proofErr w:type="gramStart"/>
      <w:r w:rsidRPr="00BF3637">
        <w:rPr>
          <w:rFonts w:hint="eastAsia"/>
        </w:rPr>
        <w:t>作出</w:t>
      </w:r>
      <w:proofErr w:type="gramEnd"/>
      <w:r w:rsidRPr="00BF3637">
        <w:rPr>
          <w:rFonts w:hint="eastAsia"/>
        </w:rPr>
        <w:t>决议，保荐机构应当发表明确意见，并提交</w:t>
      </w:r>
      <w:r>
        <w:rPr>
          <w:rFonts w:hint="eastAsia"/>
        </w:rPr>
        <w:t>股东会审议，</w:t>
      </w:r>
      <w:r w:rsidRPr="00BF3637">
        <w:rPr>
          <w:rFonts w:hint="eastAsia"/>
        </w:rPr>
        <w:t>公司应当及时、充分披露使用超募资金的必要性和合理性等相关信息。公司使用超募资金投资在建项目及新项目的，还应当充分披露相关项目的建设方案、投资周期、回报率等信息。</w:t>
      </w:r>
    </w:p>
    <w:p w:rsidR="00BF3637" w:rsidRPr="00BF3637" w:rsidRDefault="00BF3637" w:rsidP="00FF52FF">
      <w:pPr>
        <w:pStyle w:val="a5"/>
        <w:spacing w:line="360" w:lineRule="auto"/>
        <w:ind w:right="231" w:firstLine="421"/>
        <w:jc w:val="both"/>
      </w:pPr>
      <w:r w:rsidRPr="00BF3637">
        <w:rPr>
          <w:rFonts w:hint="eastAsia"/>
        </w:rPr>
        <w:t>确有必要使用暂时闲置的超募资金进行现金管理或者</w:t>
      </w:r>
      <w:r>
        <w:rPr>
          <w:rFonts w:hint="eastAsia"/>
        </w:rPr>
        <w:t>临时补充流动资金的，应当说明必要性和合理性。</w:t>
      </w:r>
      <w:r w:rsidRPr="00BF3637">
        <w:rPr>
          <w:rFonts w:hint="eastAsia"/>
        </w:rPr>
        <w:t>公司将暂时闲置的超募资金进行现金管理或者临时补充流动资金的，额度、期限等事项应当经董事会审议通过，保荐机构</w:t>
      </w:r>
      <w:r>
        <w:rPr>
          <w:rFonts w:hint="eastAsia"/>
        </w:rPr>
        <w:t>应当发表明确意见，</w:t>
      </w:r>
      <w:r w:rsidRPr="00BF3637">
        <w:rPr>
          <w:rFonts w:hint="eastAsia"/>
        </w:rPr>
        <w:t>公司应当及时披露相关信息。</w:t>
      </w:r>
    </w:p>
    <w:p w:rsidR="00BC17E8" w:rsidRDefault="006F32FC">
      <w:pPr>
        <w:pStyle w:val="a5"/>
        <w:spacing w:line="360" w:lineRule="auto"/>
        <w:ind w:right="228" w:firstLine="421"/>
        <w:jc w:val="both"/>
      </w:pPr>
      <w:r>
        <w:rPr>
          <w:b/>
          <w:bCs/>
        </w:rPr>
        <w:t>第十</w:t>
      </w:r>
      <w:r w:rsidR="00C40769">
        <w:rPr>
          <w:rFonts w:hint="eastAsia"/>
          <w:b/>
          <w:bCs/>
        </w:rPr>
        <w:t>五</w:t>
      </w:r>
      <w:r>
        <w:rPr>
          <w:b/>
          <w:bCs/>
        </w:rPr>
        <w:t xml:space="preserve">条 </w:t>
      </w:r>
      <w:r>
        <w:t>公司以发行证券作为支付方式向特定对象购买资产的，应当确保在新增股份上市前办理完毕上述资产的所有权转移手续，公司聘请的律师事务所应当就资产转移手续完成情况出具专项法律意见书。</w:t>
      </w:r>
    </w:p>
    <w:p w:rsidR="00BC17E8" w:rsidRDefault="006F32FC">
      <w:pPr>
        <w:pStyle w:val="a5"/>
        <w:spacing w:line="360" w:lineRule="auto"/>
        <w:ind w:right="242" w:firstLine="421"/>
        <w:jc w:val="both"/>
      </w:pPr>
      <w:r>
        <w:rPr>
          <w:b/>
          <w:bCs/>
        </w:rPr>
        <w:t>第十</w:t>
      </w:r>
      <w:r w:rsidR="00C40769">
        <w:rPr>
          <w:rFonts w:hint="eastAsia"/>
          <w:b/>
          <w:bCs/>
        </w:rPr>
        <w:t>六</w:t>
      </w:r>
      <w:r>
        <w:rPr>
          <w:b/>
          <w:bCs/>
        </w:rPr>
        <w:t xml:space="preserve">条 </w:t>
      </w:r>
      <w:r>
        <w:t>公司以发行证券作为支付方式向特定对象购买资产或者募集资金用于收购资产的，相关当事人应当严格遵守和履行涉及收购资产的相关承诺。</w:t>
      </w:r>
    </w:p>
    <w:p w:rsidR="00BC17E8" w:rsidRDefault="006F32FC" w:rsidP="00FF52FF">
      <w:pPr>
        <w:pStyle w:val="1"/>
        <w:spacing w:beforeLines="50" w:before="120" w:afterLines="50" w:after="120" w:line="360" w:lineRule="auto"/>
        <w:ind w:left="0"/>
        <w:jc w:val="center"/>
      </w:pPr>
      <w:r>
        <w:t>第四章</w:t>
      </w:r>
      <w:r w:rsidR="002B241A">
        <w:rPr>
          <w:rFonts w:hint="eastAsia"/>
        </w:rPr>
        <w:t xml:space="preserve"> </w:t>
      </w:r>
      <w:r w:rsidR="002B241A">
        <w:t xml:space="preserve"> </w:t>
      </w:r>
      <w:r>
        <w:t>募集资金用途变更</w:t>
      </w:r>
    </w:p>
    <w:p w:rsidR="00E50D21" w:rsidRDefault="006F32FC" w:rsidP="00E50D21">
      <w:pPr>
        <w:pStyle w:val="a5"/>
        <w:spacing w:line="360" w:lineRule="auto"/>
        <w:ind w:right="242" w:firstLine="421"/>
        <w:jc w:val="both"/>
        <w:rPr>
          <w:bCs/>
        </w:rPr>
      </w:pPr>
      <w:r>
        <w:rPr>
          <w:b/>
          <w:bCs/>
        </w:rPr>
        <w:t>第十</w:t>
      </w:r>
      <w:r w:rsidR="00C40769">
        <w:rPr>
          <w:rFonts w:hint="eastAsia"/>
          <w:b/>
          <w:bCs/>
        </w:rPr>
        <w:t>七</w:t>
      </w:r>
      <w:r>
        <w:rPr>
          <w:b/>
          <w:bCs/>
        </w:rPr>
        <w:t>条</w:t>
      </w:r>
      <w:r w:rsidR="002B241A">
        <w:rPr>
          <w:rFonts w:hint="eastAsia"/>
          <w:b/>
          <w:bCs/>
        </w:rPr>
        <w:t xml:space="preserve"> </w:t>
      </w:r>
      <w:r w:rsidR="00E50D21" w:rsidRPr="00E50D21">
        <w:rPr>
          <w:rFonts w:hint="eastAsia"/>
          <w:bCs/>
        </w:rPr>
        <w:t>公司募集资金应当按照招股说明书或者其他公开发行募集文件所列用途使用，不得擅自改变用途。</w:t>
      </w:r>
    </w:p>
    <w:p w:rsidR="00E50D21" w:rsidRDefault="00E50D21" w:rsidP="008D0CD5">
      <w:pPr>
        <w:pStyle w:val="a5"/>
        <w:spacing w:line="360" w:lineRule="auto"/>
        <w:ind w:right="242" w:firstLine="480"/>
        <w:jc w:val="both"/>
        <w:rPr>
          <w:bCs/>
        </w:rPr>
      </w:pPr>
      <w:r w:rsidRPr="00E50D21">
        <w:rPr>
          <w:rFonts w:hint="eastAsia"/>
          <w:bCs/>
        </w:rPr>
        <w:lastRenderedPageBreak/>
        <w:t>存在下列情形之一的，属于改变募集资金用途，应当由董事会依法</w:t>
      </w:r>
      <w:proofErr w:type="gramStart"/>
      <w:r w:rsidRPr="00E50D21">
        <w:rPr>
          <w:rFonts w:hint="eastAsia"/>
          <w:bCs/>
        </w:rPr>
        <w:t>作出</w:t>
      </w:r>
      <w:proofErr w:type="gramEnd"/>
      <w:r w:rsidRPr="00E50D21">
        <w:rPr>
          <w:rFonts w:hint="eastAsia"/>
          <w:bCs/>
        </w:rPr>
        <w:t>决议，保荐机构发表明确意见，并提交股东</w:t>
      </w:r>
      <w:r>
        <w:rPr>
          <w:rFonts w:hint="eastAsia"/>
          <w:bCs/>
        </w:rPr>
        <w:t>会审议，</w:t>
      </w:r>
      <w:r w:rsidRPr="00E50D21">
        <w:rPr>
          <w:rFonts w:hint="eastAsia"/>
          <w:bCs/>
        </w:rPr>
        <w:t>公司应当及时披露相关信息：</w:t>
      </w:r>
    </w:p>
    <w:p w:rsidR="00E50D21" w:rsidRPr="00E50D21" w:rsidRDefault="00E50D21" w:rsidP="00E50D21">
      <w:pPr>
        <w:pStyle w:val="a5"/>
        <w:spacing w:line="360" w:lineRule="auto"/>
        <w:ind w:right="242" w:firstLine="421"/>
        <w:jc w:val="both"/>
        <w:rPr>
          <w:bCs/>
        </w:rPr>
      </w:pPr>
      <w:r w:rsidRPr="00E50D21">
        <w:rPr>
          <w:rFonts w:hint="eastAsia"/>
          <w:bCs/>
        </w:rPr>
        <w:t>（一）取消或者终止原募集资金投资项目，实施新项目或者永久补充流动资金；</w:t>
      </w:r>
    </w:p>
    <w:p w:rsidR="00E50D21" w:rsidRPr="00E50D21" w:rsidRDefault="00E50D21" w:rsidP="00E50D21">
      <w:pPr>
        <w:pStyle w:val="a5"/>
        <w:spacing w:line="360" w:lineRule="auto"/>
        <w:ind w:right="242" w:firstLine="421"/>
        <w:jc w:val="both"/>
        <w:rPr>
          <w:bCs/>
        </w:rPr>
      </w:pPr>
      <w:r w:rsidRPr="00E50D21">
        <w:rPr>
          <w:rFonts w:hint="eastAsia"/>
          <w:bCs/>
        </w:rPr>
        <w:t>（二）改变募集资金投资项目实施主体；</w:t>
      </w:r>
    </w:p>
    <w:p w:rsidR="00E50D21" w:rsidRPr="00E50D21" w:rsidRDefault="00E50D21" w:rsidP="00E50D21">
      <w:pPr>
        <w:pStyle w:val="a5"/>
        <w:spacing w:line="360" w:lineRule="auto"/>
        <w:ind w:right="242" w:firstLine="421"/>
        <w:jc w:val="both"/>
        <w:rPr>
          <w:bCs/>
        </w:rPr>
      </w:pPr>
      <w:r w:rsidRPr="00E50D21">
        <w:rPr>
          <w:rFonts w:hint="eastAsia"/>
          <w:bCs/>
        </w:rPr>
        <w:t>（三）改变募集资金投资项目实施方式；</w:t>
      </w:r>
    </w:p>
    <w:p w:rsidR="00E50D21" w:rsidRPr="00E50D21" w:rsidRDefault="00E50D21" w:rsidP="00E50D21">
      <w:pPr>
        <w:pStyle w:val="a5"/>
        <w:spacing w:line="360" w:lineRule="auto"/>
        <w:ind w:right="242" w:firstLine="421"/>
        <w:jc w:val="both"/>
        <w:rPr>
          <w:bCs/>
        </w:rPr>
      </w:pPr>
      <w:r w:rsidRPr="00E50D21">
        <w:rPr>
          <w:rFonts w:hint="eastAsia"/>
          <w:bCs/>
        </w:rPr>
        <w:t>（四）中国证监会认定的其他情形。</w:t>
      </w:r>
    </w:p>
    <w:p w:rsidR="00E50D21" w:rsidRPr="00E50D21" w:rsidRDefault="00E50D21" w:rsidP="00E50D21">
      <w:pPr>
        <w:pStyle w:val="a5"/>
        <w:spacing w:line="360" w:lineRule="auto"/>
        <w:ind w:right="242" w:firstLine="421"/>
        <w:jc w:val="both"/>
        <w:rPr>
          <w:bCs/>
        </w:rPr>
      </w:pPr>
      <w:r w:rsidRPr="00E50D21">
        <w:rPr>
          <w:rFonts w:hint="eastAsia"/>
          <w:bCs/>
        </w:rPr>
        <w:t>公司存在前款第（一）项规定情形的，保荐机构应当结合前期披露的募集资金相关文件，具体说明募集资金投资项目发生变化的主要原因及前期保荐意见的合理性。</w:t>
      </w:r>
    </w:p>
    <w:p w:rsidR="00E50D21" w:rsidRPr="00E50D21" w:rsidDel="00E50D21" w:rsidRDefault="00E50D21" w:rsidP="008D0CD5">
      <w:pPr>
        <w:pStyle w:val="a5"/>
        <w:spacing w:line="360" w:lineRule="auto"/>
        <w:ind w:right="242" w:firstLine="480"/>
        <w:jc w:val="both"/>
        <w:rPr>
          <w:bCs/>
        </w:rPr>
      </w:pPr>
      <w:r>
        <w:rPr>
          <w:rFonts w:hint="eastAsia"/>
          <w:bCs/>
        </w:rPr>
        <w:t>募集资金投资项目实施主体在</w:t>
      </w:r>
      <w:r w:rsidRPr="00E50D21">
        <w:rPr>
          <w:rFonts w:hint="eastAsia"/>
          <w:bCs/>
        </w:rPr>
        <w:t>公司及全资子公司之间进行变更，或者仅涉及</w:t>
      </w:r>
      <w:proofErr w:type="gramStart"/>
      <w:r w:rsidRPr="00E50D21">
        <w:rPr>
          <w:rFonts w:hint="eastAsia"/>
          <w:bCs/>
        </w:rPr>
        <w:t>募投项目</w:t>
      </w:r>
      <w:proofErr w:type="gramEnd"/>
      <w:r w:rsidRPr="00E50D21">
        <w:rPr>
          <w:rFonts w:hint="eastAsia"/>
          <w:bCs/>
        </w:rPr>
        <w:t>实施地点变更的，</w:t>
      </w:r>
      <w:proofErr w:type="gramStart"/>
      <w:r w:rsidRPr="00E50D21">
        <w:rPr>
          <w:rFonts w:hint="eastAsia"/>
          <w:bCs/>
        </w:rPr>
        <w:t>不</w:t>
      </w:r>
      <w:proofErr w:type="gramEnd"/>
      <w:r w:rsidRPr="00E50D21">
        <w:rPr>
          <w:rFonts w:hint="eastAsia"/>
          <w:bCs/>
        </w:rPr>
        <w:t>视为改变募集资金用途。相关变更应当由董事会</w:t>
      </w:r>
      <w:proofErr w:type="gramStart"/>
      <w:r>
        <w:rPr>
          <w:rFonts w:hint="eastAsia"/>
          <w:bCs/>
        </w:rPr>
        <w:t>作出</w:t>
      </w:r>
      <w:proofErr w:type="gramEnd"/>
      <w:r>
        <w:rPr>
          <w:rFonts w:hint="eastAsia"/>
          <w:bCs/>
        </w:rPr>
        <w:t>决议，无需履行股东会审议程序，保荐机构应当发表明确意见，</w:t>
      </w:r>
      <w:r w:rsidRPr="00E50D21">
        <w:rPr>
          <w:rFonts w:hint="eastAsia"/>
          <w:bCs/>
        </w:rPr>
        <w:t>公司应当及时披露相关信息。</w:t>
      </w:r>
    </w:p>
    <w:p w:rsidR="00BC17E8" w:rsidRDefault="006F32FC">
      <w:pPr>
        <w:pStyle w:val="a5"/>
        <w:spacing w:line="360" w:lineRule="auto"/>
        <w:ind w:right="288" w:firstLine="481"/>
        <w:jc w:val="both"/>
      </w:pPr>
      <w:r>
        <w:rPr>
          <w:b/>
          <w:bCs/>
        </w:rPr>
        <w:t>第十</w:t>
      </w:r>
      <w:r w:rsidR="00C40769">
        <w:rPr>
          <w:rFonts w:hint="eastAsia"/>
          <w:b/>
          <w:bCs/>
          <w:lang w:val="en-US"/>
        </w:rPr>
        <w:t>八</w:t>
      </w:r>
      <w:r>
        <w:rPr>
          <w:b/>
          <w:bCs/>
        </w:rPr>
        <w:t xml:space="preserve">条 </w:t>
      </w:r>
      <w:r>
        <w:t>公司拟变更募集资金</w:t>
      </w:r>
      <w:r>
        <w:rPr>
          <w:rFonts w:hint="eastAsia"/>
        </w:rPr>
        <w:t>用途</w:t>
      </w:r>
      <w:r>
        <w:t>的，应当在提交董事会审议</w:t>
      </w:r>
      <w:r>
        <w:rPr>
          <w:rFonts w:hint="eastAsia"/>
        </w:rPr>
        <w:t>通过</w:t>
      </w:r>
      <w:r>
        <w:t>后2个交易日内公告</w:t>
      </w:r>
      <w:r>
        <w:rPr>
          <w:rFonts w:hint="eastAsia"/>
        </w:rPr>
        <w:t>。</w:t>
      </w:r>
    </w:p>
    <w:p w:rsidR="00BC17E8" w:rsidRDefault="006F32FC">
      <w:pPr>
        <w:pStyle w:val="a5"/>
        <w:spacing w:line="360" w:lineRule="auto"/>
        <w:ind w:right="282" w:firstLine="481"/>
        <w:jc w:val="both"/>
      </w:pPr>
      <w:r>
        <w:rPr>
          <w:b/>
          <w:bCs/>
        </w:rPr>
        <w:t>第</w:t>
      </w:r>
      <w:r w:rsidR="00C40769">
        <w:rPr>
          <w:rFonts w:hint="eastAsia"/>
          <w:b/>
          <w:bCs/>
          <w:lang w:val="en-US"/>
        </w:rPr>
        <w:t>十九</w:t>
      </w:r>
      <w:r>
        <w:rPr>
          <w:b/>
          <w:bCs/>
        </w:rPr>
        <w:t xml:space="preserve">条 </w:t>
      </w:r>
      <w:r>
        <w:rPr>
          <w:rFonts w:hint="eastAsia"/>
        </w:rPr>
        <w:t>公司董事会应当科学、审慎地选择新的投资项目，对新的投资项目进行可行性分析，确信投资项目具有较好的市场前景和盈利能力，能够有效防范投资风险，提高募集资金使用效益。</w:t>
      </w:r>
    </w:p>
    <w:p w:rsidR="00BC17E8" w:rsidRDefault="006F32FC">
      <w:pPr>
        <w:pStyle w:val="a5"/>
        <w:spacing w:line="360" w:lineRule="auto"/>
        <w:ind w:right="282" w:firstLine="481"/>
        <w:jc w:val="both"/>
      </w:pPr>
      <w:r>
        <w:rPr>
          <w:b/>
          <w:bCs/>
        </w:rPr>
        <w:t>第</w:t>
      </w:r>
      <w:r w:rsidR="00C40769">
        <w:rPr>
          <w:rFonts w:hint="eastAsia"/>
          <w:b/>
          <w:bCs/>
        </w:rPr>
        <w:t>二十</w:t>
      </w:r>
      <w:r>
        <w:rPr>
          <w:b/>
          <w:bCs/>
        </w:rPr>
        <w:t xml:space="preserve">条 </w:t>
      </w:r>
      <w:r>
        <w:t>公司拟将募集资金投资项目变更为合资经营的方式实施的，应当在充分了解合资方基本情况的基础上，慎重考虑合资的必要性，并且公司应当控股，确保对募集资金投资项目的有效控制。</w:t>
      </w:r>
    </w:p>
    <w:p w:rsidR="00BC17E8" w:rsidRDefault="006F32FC">
      <w:pPr>
        <w:pStyle w:val="a5"/>
        <w:spacing w:line="360" w:lineRule="auto"/>
        <w:ind w:right="285" w:firstLine="481"/>
        <w:jc w:val="both"/>
      </w:pPr>
      <w:r>
        <w:rPr>
          <w:b/>
          <w:bCs/>
        </w:rPr>
        <w:t>第</w:t>
      </w:r>
      <w:r w:rsidR="00E50D21">
        <w:rPr>
          <w:rFonts w:hint="eastAsia"/>
          <w:b/>
          <w:bCs/>
        </w:rPr>
        <w:t>二十</w:t>
      </w:r>
      <w:r w:rsidR="00C40769">
        <w:rPr>
          <w:rFonts w:hint="eastAsia"/>
          <w:b/>
          <w:bCs/>
        </w:rPr>
        <w:t>一</w:t>
      </w:r>
      <w:r>
        <w:rPr>
          <w:b/>
          <w:bCs/>
        </w:rPr>
        <w:t xml:space="preserve">条 </w:t>
      </w:r>
      <w:r>
        <w:t>公司变更募集资金用途用于收购控股股东或实际控制人资产（包括权益）的，应当确保在收购后能够有效避免同业竞争及减少关联交易。</w:t>
      </w:r>
    </w:p>
    <w:p w:rsidR="00BC17E8" w:rsidRDefault="006F32FC" w:rsidP="000D67A4">
      <w:pPr>
        <w:pStyle w:val="a5"/>
        <w:spacing w:line="360" w:lineRule="auto"/>
        <w:ind w:left="0" w:firstLineChars="236" w:firstLine="566"/>
      </w:pPr>
      <w:r>
        <w:t>公司应当披露与控股股东或实际控制人进行交易的原因、关联交易的定价政策及定价依据、关联交易对公司的影响以及相关问题的解决措施。</w:t>
      </w:r>
    </w:p>
    <w:p w:rsidR="00D1418E" w:rsidRDefault="006F32FC" w:rsidP="001A3EF6">
      <w:pPr>
        <w:pStyle w:val="a5"/>
        <w:spacing w:line="360" w:lineRule="auto"/>
        <w:ind w:right="282" w:firstLine="481"/>
        <w:jc w:val="both"/>
      </w:pPr>
      <w:r>
        <w:rPr>
          <w:b/>
          <w:bCs/>
        </w:rPr>
        <w:t>第二十</w:t>
      </w:r>
      <w:r w:rsidR="00C40769">
        <w:rPr>
          <w:rFonts w:hint="eastAsia"/>
          <w:b/>
          <w:bCs/>
        </w:rPr>
        <w:t>二</w:t>
      </w:r>
      <w:r>
        <w:rPr>
          <w:b/>
          <w:bCs/>
        </w:rPr>
        <w:t xml:space="preserve">条 </w:t>
      </w:r>
      <w:r>
        <w:t>公司改变募集资金投资项目实施地点的，应当</w:t>
      </w:r>
      <w:r w:rsidR="00922C1D" w:rsidRPr="00922C1D">
        <w:rPr>
          <w:rFonts w:hint="eastAsia"/>
        </w:rPr>
        <w:t>在董事会审议通过后及时公告</w:t>
      </w:r>
      <w:r>
        <w:t>，说明改变情况、原因、对募集资金投资项目实施造成的影响</w:t>
      </w:r>
      <w:r w:rsidR="0098234F">
        <w:rPr>
          <w:rFonts w:hint="eastAsia"/>
        </w:rPr>
        <w:t>以及保荐机构或者独立财务顾问</w:t>
      </w:r>
      <w:r w:rsidR="00460584">
        <w:rPr>
          <w:rFonts w:hint="eastAsia"/>
        </w:rPr>
        <w:t>出具的</w:t>
      </w:r>
      <w:r w:rsidR="0098234F">
        <w:rPr>
          <w:rFonts w:hint="eastAsia"/>
        </w:rPr>
        <w:t>意见。</w:t>
      </w:r>
    </w:p>
    <w:p w:rsidR="00C40769" w:rsidRPr="008F4AF0" w:rsidRDefault="006F32FC" w:rsidP="00C40769">
      <w:pPr>
        <w:pStyle w:val="a5"/>
        <w:spacing w:line="360" w:lineRule="auto"/>
        <w:ind w:right="225" w:firstLine="481"/>
        <w:jc w:val="both"/>
        <w:rPr>
          <w:bCs/>
        </w:rPr>
      </w:pPr>
      <w:r>
        <w:rPr>
          <w:b/>
          <w:bCs/>
        </w:rPr>
        <w:t>第二十</w:t>
      </w:r>
      <w:r w:rsidR="00114538">
        <w:rPr>
          <w:rFonts w:hint="eastAsia"/>
          <w:b/>
          <w:bCs/>
        </w:rPr>
        <w:t>三</w:t>
      </w:r>
      <w:r>
        <w:rPr>
          <w:b/>
          <w:bCs/>
        </w:rPr>
        <w:t>条</w:t>
      </w:r>
      <w:r w:rsidR="00C40769">
        <w:rPr>
          <w:rFonts w:hint="eastAsia"/>
          <w:b/>
          <w:bCs/>
        </w:rPr>
        <w:t xml:space="preserve"> </w:t>
      </w:r>
      <w:r w:rsidR="00C40769" w:rsidRPr="008F4AF0">
        <w:rPr>
          <w:rFonts w:hint="eastAsia"/>
          <w:bCs/>
        </w:rPr>
        <w:t>单个或者全部募集资金投资项目完成后，节余资金（包括利息收入）低于该项目募集资金净额</w:t>
      </w:r>
      <w:r w:rsidR="00C40769" w:rsidRPr="008F4AF0">
        <w:rPr>
          <w:bCs/>
        </w:rPr>
        <w:t>10%</w:t>
      </w:r>
      <w:r w:rsidR="00C40769">
        <w:rPr>
          <w:rFonts w:hint="eastAsia"/>
          <w:bCs/>
        </w:rPr>
        <w:t>的，</w:t>
      </w:r>
      <w:r w:rsidR="00C40769" w:rsidRPr="008F4AF0">
        <w:rPr>
          <w:rFonts w:hint="eastAsia"/>
          <w:bCs/>
        </w:rPr>
        <w:t>公司使用节余资金应当按照</w:t>
      </w:r>
      <w:r w:rsidR="00C40769">
        <w:rPr>
          <w:rFonts w:hint="eastAsia"/>
          <w:bCs/>
        </w:rPr>
        <w:t>第十一</w:t>
      </w:r>
      <w:r w:rsidR="00C40769" w:rsidRPr="008F4AF0">
        <w:rPr>
          <w:rFonts w:hint="eastAsia"/>
          <w:bCs/>
        </w:rPr>
        <w:t>条第一款履行相应程序。</w:t>
      </w:r>
    </w:p>
    <w:p w:rsidR="00C40769" w:rsidRDefault="00C40769" w:rsidP="00C40769">
      <w:pPr>
        <w:pStyle w:val="a5"/>
        <w:spacing w:line="360" w:lineRule="auto"/>
        <w:ind w:right="225" w:firstLine="481"/>
        <w:jc w:val="both"/>
        <w:rPr>
          <w:bCs/>
        </w:rPr>
      </w:pPr>
      <w:r w:rsidRPr="008F4AF0">
        <w:rPr>
          <w:rFonts w:hint="eastAsia"/>
          <w:bCs/>
        </w:rPr>
        <w:t>节余资金（包括利息收入）达到或者超过该项目募集资金净额</w:t>
      </w:r>
      <w:r w:rsidRPr="008F4AF0">
        <w:rPr>
          <w:bCs/>
        </w:rPr>
        <w:t>10%</w:t>
      </w:r>
      <w:r w:rsidRPr="008F4AF0">
        <w:rPr>
          <w:rFonts w:hint="eastAsia"/>
          <w:bCs/>
        </w:rPr>
        <w:t>的，公司使用节余资金还应当经股东会审议通过。</w:t>
      </w:r>
    </w:p>
    <w:p w:rsidR="00BC17E8" w:rsidRDefault="00C40769" w:rsidP="00C40769">
      <w:pPr>
        <w:pStyle w:val="a5"/>
        <w:spacing w:line="360" w:lineRule="auto"/>
        <w:ind w:right="282" w:firstLine="481"/>
        <w:jc w:val="both"/>
      </w:pPr>
      <w:r w:rsidRPr="008F4AF0">
        <w:rPr>
          <w:rFonts w:hint="eastAsia"/>
          <w:bCs/>
        </w:rPr>
        <w:lastRenderedPageBreak/>
        <w:t>节余资金（包括利息收入）低于</w:t>
      </w:r>
      <w:r>
        <w:rPr>
          <w:bCs/>
        </w:rPr>
        <w:t>500</w:t>
      </w:r>
      <w:r w:rsidRPr="008F4AF0">
        <w:rPr>
          <w:rFonts w:hint="eastAsia"/>
          <w:bCs/>
        </w:rPr>
        <w:t>万元或者低于项目募集资金净额</w:t>
      </w:r>
      <w:r w:rsidRPr="008F4AF0">
        <w:rPr>
          <w:bCs/>
        </w:rPr>
        <w:t>1%</w:t>
      </w:r>
      <w:r w:rsidRPr="008F4AF0">
        <w:rPr>
          <w:rFonts w:hint="eastAsia"/>
          <w:bCs/>
        </w:rPr>
        <w:t>的，可以豁免履行前述程序，其使用情况应当在年度报告中披露。</w:t>
      </w:r>
    </w:p>
    <w:p w:rsidR="00BC17E8" w:rsidRDefault="006F32FC">
      <w:pPr>
        <w:pStyle w:val="a5"/>
        <w:spacing w:line="360" w:lineRule="auto"/>
        <w:ind w:right="282" w:firstLine="481"/>
        <w:jc w:val="both"/>
      </w:pPr>
      <w:r>
        <w:rPr>
          <w:b/>
          <w:bCs/>
        </w:rPr>
        <w:t>第二十</w:t>
      </w:r>
      <w:r w:rsidR="00460584">
        <w:rPr>
          <w:rFonts w:hint="eastAsia"/>
          <w:b/>
          <w:bCs/>
        </w:rPr>
        <w:t>四</w:t>
      </w:r>
      <w:r>
        <w:rPr>
          <w:b/>
          <w:bCs/>
        </w:rPr>
        <w:t>条</w:t>
      </w:r>
      <w:r w:rsidR="00C40769">
        <w:rPr>
          <w:rFonts w:hint="eastAsia"/>
          <w:b/>
          <w:bCs/>
        </w:rPr>
        <w:t xml:space="preserve"> </w:t>
      </w:r>
      <w:r w:rsidR="00C40769" w:rsidRPr="00C40769">
        <w:rPr>
          <w:rFonts w:hint="eastAsia"/>
        </w:rPr>
        <w:t>公司全部募集资金项目完成前，因项目终止出现节余资金，将部分募集资金用于永久补充流动资金的，应当符合下列要求：</w:t>
      </w:r>
    </w:p>
    <w:p w:rsidR="00BC17E8" w:rsidRDefault="006F32FC">
      <w:pPr>
        <w:pStyle w:val="a5"/>
        <w:spacing w:line="360" w:lineRule="auto"/>
        <w:ind w:left="587"/>
      </w:pPr>
      <w:r>
        <w:t>（一）募集资金到账超过一年；</w:t>
      </w:r>
    </w:p>
    <w:p w:rsidR="00BC17E8" w:rsidRDefault="006F32FC">
      <w:pPr>
        <w:pStyle w:val="a5"/>
        <w:spacing w:line="360" w:lineRule="auto"/>
        <w:ind w:left="587"/>
      </w:pPr>
      <w:r>
        <w:t>（二）不影响其他募集资金项目的实施；</w:t>
      </w:r>
    </w:p>
    <w:p w:rsidR="00BC17E8" w:rsidRDefault="006F32FC">
      <w:pPr>
        <w:pStyle w:val="a5"/>
        <w:spacing w:line="360" w:lineRule="auto"/>
        <w:ind w:left="587"/>
      </w:pPr>
      <w:r>
        <w:t>（三）按照募集资金用途变更的要求履行审批程序和信息披露义务；</w:t>
      </w:r>
    </w:p>
    <w:p w:rsidR="00BC17E8" w:rsidRDefault="006F32FC" w:rsidP="00FF52FF">
      <w:pPr>
        <w:pStyle w:val="1"/>
        <w:spacing w:beforeLines="50" w:before="120" w:afterLines="50" w:after="120" w:line="360" w:lineRule="auto"/>
        <w:ind w:left="0"/>
        <w:jc w:val="center"/>
      </w:pPr>
      <w:r>
        <w:t>第五章</w:t>
      </w:r>
      <w:r w:rsidR="002B241A">
        <w:rPr>
          <w:rFonts w:hint="eastAsia"/>
        </w:rPr>
        <w:t xml:space="preserve"> </w:t>
      </w:r>
      <w:r w:rsidR="002B241A">
        <w:t xml:space="preserve"> </w:t>
      </w:r>
      <w:r>
        <w:t>募集资金管理与监督</w:t>
      </w:r>
    </w:p>
    <w:p w:rsidR="00BC17E8" w:rsidRDefault="006F32FC">
      <w:pPr>
        <w:pStyle w:val="a5"/>
        <w:spacing w:line="360" w:lineRule="auto"/>
        <w:ind w:right="285" w:firstLine="481"/>
        <w:jc w:val="both"/>
      </w:pPr>
      <w:r>
        <w:rPr>
          <w:b/>
          <w:bCs/>
        </w:rPr>
        <w:t>第二十</w:t>
      </w:r>
      <w:r w:rsidR="00114538">
        <w:rPr>
          <w:rFonts w:hint="eastAsia"/>
          <w:b/>
          <w:bCs/>
        </w:rPr>
        <w:t>五</w:t>
      </w:r>
      <w:r>
        <w:rPr>
          <w:b/>
          <w:bCs/>
        </w:rPr>
        <w:t xml:space="preserve">条 </w:t>
      </w:r>
      <w:r>
        <w:t>公司会计部门应对募集资金的使用情况设立台账，详细记录募集资金的支出情况和募集资金项目的投入情况。公司内部审计部门应当至少每季度对募集资金的存放与使用情况检查一次，并及时向</w:t>
      </w:r>
      <w:r w:rsidR="007635F2">
        <w:rPr>
          <w:rFonts w:hint="eastAsia"/>
        </w:rPr>
        <w:t>审计委员会</w:t>
      </w:r>
      <w:r>
        <w:t>报告检查结果。</w:t>
      </w:r>
      <w:r w:rsidR="002B7724">
        <w:t>公司审计委员会认为公司募集资金管理存在违规情形、重大风险或者内部审计机构没有按前款规定提交检查结</w:t>
      </w:r>
      <w:r w:rsidR="00632FA5">
        <w:t>果报告的，应当及时向董事会报告。董事会应当在收到报告后及时向</w:t>
      </w:r>
      <w:r w:rsidR="00632FA5">
        <w:rPr>
          <w:rFonts w:hint="eastAsia"/>
        </w:rPr>
        <w:t>交易所</w:t>
      </w:r>
      <w:r w:rsidR="002B7724">
        <w:t>报告并公告。</w:t>
      </w:r>
    </w:p>
    <w:p w:rsidR="00114538" w:rsidRPr="00114538" w:rsidRDefault="006F32FC" w:rsidP="00114538">
      <w:pPr>
        <w:pStyle w:val="a5"/>
        <w:spacing w:line="360" w:lineRule="auto"/>
        <w:ind w:right="225" w:firstLine="481"/>
        <w:jc w:val="both"/>
        <w:rPr>
          <w:bCs/>
        </w:rPr>
      </w:pPr>
      <w:r w:rsidRPr="00114538">
        <w:rPr>
          <w:b/>
          <w:bCs/>
        </w:rPr>
        <w:t>第二十</w:t>
      </w:r>
      <w:r w:rsidR="00114538">
        <w:rPr>
          <w:rFonts w:hint="eastAsia"/>
          <w:b/>
          <w:bCs/>
        </w:rPr>
        <w:t>六</w:t>
      </w:r>
      <w:r w:rsidRPr="00114538">
        <w:rPr>
          <w:b/>
          <w:bCs/>
        </w:rPr>
        <w:t>条</w:t>
      </w:r>
      <w:r w:rsidR="00114538" w:rsidRPr="00114538">
        <w:rPr>
          <w:rFonts w:hint="eastAsia"/>
          <w:bCs/>
        </w:rPr>
        <w:t xml:space="preserve"> 公司应当真实、准确、完整地披露募集资金的实际使用情况。董事会应当每半年度全面核查募集资金投资项目的进展情况，编制《公司募集资金存放、管理与实际使用情况的专项报告》并披露。相关专项报告应当包括募集资金的基本情况和本规则规定的存放、管理和使用情况。募集资金投资项目实际投资进度与投资计划存在差异</w:t>
      </w:r>
      <w:r w:rsidR="00114538">
        <w:rPr>
          <w:rFonts w:hint="eastAsia"/>
          <w:bCs/>
        </w:rPr>
        <w:t>的，</w:t>
      </w:r>
      <w:r w:rsidR="00114538" w:rsidRPr="00114538">
        <w:rPr>
          <w:rFonts w:hint="eastAsia"/>
          <w:bCs/>
        </w:rPr>
        <w:t>公司应当解释具体原因。</w:t>
      </w:r>
    </w:p>
    <w:p w:rsidR="00114538" w:rsidRPr="00114538" w:rsidRDefault="006F32FC" w:rsidP="00114538">
      <w:pPr>
        <w:pStyle w:val="a5"/>
        <w:spacing w:line="360" w:lineRule="auto"/>
        <w:ind w:right="225" w:firstLine="481"/>
        <w:jc w:val="both"/>
        <w:rPr>
          <w:bCs/>
        </w:rPr>
      </w:pPr>
      <w:r w:rsidRPr="00114538">
        <w:rPr>
          <w:b/>
          <w:bCs/>
        </w:rPr>
        <w:t>第</w:t>
      </w:r>
      <w:r w:rsidRPr="00114538">
        <w:rPr>
          <w:rFonts w:hint="eastAsia"/>
          <w:b/>
          <w:bCs/>
        </w:rPr>
        <w:t>二</w:t>
      </w:r>
      <w:r w:rsidRPr="00114538">
        <w:rPr>
          <w:b/>
          <w:bCs/>
        </w:rPr>
        <w:t>十</w:t>
      </w:r>
      <w:r w:rsidR="00114538">
        <w:rPr>
          <w:rFonts w:hint="eastAsia"/>
          <w:b/>
          <w:bCs/>
        </w:rPr>
        <w:t>七</w:t>
      </w:r>
      <w:r w:rsidRPr="00114538">
        <w:rPr>
          <w:b/>
          <w:bCs/>
        </w:rPr>
        <w:t>条</w:t>
      </w:r>
      <w:r w:rsidR="00114538">
        <w:rPr>
          <w:rFonts w:hint="eastAsia"/>
          <w:bCs/>
        </w:rPr>
        <w:t xml:space="preserve"> </w:t>
      </w:r>
      <w:r w:rsidR="00114538" w:rsidRPr="00114538">
        <w:rPr>
          <w:rFonts w:hint="eastAsia"/>
          <w:bCs/>
        </w:rPr>
        <w:t>保荐机构应当按照《证券发行上市保荐业务</w:t>
      </w:r>
      <w:r w:rsidR="00114538">
        <w:rPr>
          <w:rFonts w:hint="eastAsia"/>
          <w:bCs/>
        </w:rPr>
        <w:t>管理办法》的规定，对</w:t>
      </w:r>
      <w:r w:rsidR="00114538" w:rsidRPr="00114538">
        <w:rPr>
          <w:rFonts w:hint="eastAsia"/>
          <w:bCs/>
        </w:rPr>
        <w:t>公司募集资金的存放、管理和使用进行持续督导，持续督导中发现异常情况的，应当及时开</w:t>
      </w:r>
      <w:r w:rsidR="00114538">
        <w:rPr>
          <w:rFonts w:hint="eastAsia"/>
          <w:bCs/>
        </w:rPr>
        <w:t>展现场核查。保荐机构应当至少每半年度对</w:t>
      </w:r>
      <w:r w:rsidR="00114538" w:rsidRPr="00114538">
        <w:rPr>
          <w:rFonts w:hint="eastAsia"/>
          <w:bCs/>
        </w:rPr>
        <w:t>公司募集资金的存放、管理和使用情况进行一次现场核查。保荐机构在持续督导和现场核查中发现异常情况的，应当及时向中国证监会派出机构和证券交易所报告。</w:t>
      </w:r>
    </w:p>
    <w:p w:rsidR="00114538" w:rsidRPr="00114538" w:rsidRDefault="00114538" w:rsidP="00114538">
      <w:pPr>
        <w:pStyle w:val="a5"/>
        <w:spacing w:line="360" w:lineRule="auto"/>
        <w:ind w:right="225" w:firstLine="481"/>
        <w:jc w:val="both"/>
        <w:rPr>
          <w:bCs/>
        </w:rPr>
      </w:pPr>
      <w:r>
        <w:rPr>
          <w:rFonts w:hint="eastAsia"/>
          <w:bCs/>
        </w:rPr>
        <w:t>每个会计年度结束后，保荐机构应当对</w:t>
      </w:r>
      <w:r w:rsidRPr="00114538">
        <w:rPr>
          <w:rFonts w:hint="eastAsia"/>
          <w:bCs/>
        </w:rPr>
        <w:t>公司年度募集资金存放、管理和使用情况出具专项核查报告并披露。</w:t>
      </w:r>
    </w:p>
    <w:p w:rsidR="00114538" w:rsidRPr="00114538" w:rsidRDefault="00114538" w:rsidP="00114538">
      <w:pPr>
        <w:pStyle w:val="a5"/>
        <w:spacing w:line="360" w:lineRule="auto"/>
        <w:ind w:right="225" w:firstLine="481"/>
        <w:jc w:val="both"/>
        <w:rPr>
          <w:bCs/>
        </w:rPr>
      </w:pPr>
      <w:r>
        <w:rPr>
          <w:rFonts w:hint="eastAsia"/>
          <w:bCs/>
        </w:rPr>
        <w:t>会计师事务所开展年度审计时，应当对</w:t>
      </w:r>
      <w:r w:rsidRPr="00114538">
        <w:rPr>
          <w:rFonts w:hint="eastAsia"/>
          <w:bCs/>
        </w:rPr>
        <w:t>公司募集资金存放、管理和使用情况出具</w:t>
      </w:r>
      <w:proofErr w:type="gramStart"/>
      <w:r w:rsidRPr="00114538">
        <w:rPr>
          <w:rFonts w:hint="eastAsia"/>
          <w:bCs/>
        </w:rPr>
        <w:t>鉴证</w:t>
      </w:r>
      <w:proofErr w:type="gramEnd"/>
      <w:r w:rsidRPr="00114538">
        <w:rPr>
          <w:rFonts w:hint="eastAsia"/>
          <w:bCs/>
        </w:rPr>
        <w:t>报告。</w:t>
      </w:r>
    </w:p>
    <w:p w:rsidR="00114538" w:rsidRDefault="00114538" w:rsidP="00114538">
      <w:pPr>
        <w:pStyle w:val="a5"/>
        <w:spacing w:line="360" w:lineRule="auto"/>
        <w:ind w:right="225" w:firstLine="481"/>
        <w:jc w:val="both"/>
        <w:rPr>
          <w:bCs/>
        </w:rPr>
      </w:pPr>
      <w:r w:rsidRPr="00114538">
        <w:rPr>
          <w:rFonts w:hint="eastAsia"/>
          <w:bCs/>
        </w:rPr>
        <w:t>公司应当配合保荐机构的持续督导、现场核查，以及会计师事务所的审计工作，及时提供或者向银行申请提供募集资金存放、管理和使用相关的必要资料。</w:t>
      </w:r>
    </w:p>
    <w:p w:rsidR="00BC17E8" w:rsidRDefault="006F32FC" w:rsidP="00FF52FF">
      <w:pPr>
        <w:pStyle w:val="1"/>
        <w:spacing w:beforeLines="50" w:before="120" w:afterLines="50" w:after="120" w:line="360" w:lineRule="auto"/>
        <w:ind w:left="0"/>
        <w:jc w:val="center"/>
      </w:pPr>
      <w:r>
        <w:lastRenderedPageBreak/>
        <w:t>第六章</w:t>
      </w:r>
      <w:r w:rsidR="002B241A">
        <w:rPr>
          <w:rFonts w:hint="eastAsia"/>
        </w:rPr>
        <w:t xml:space="preserve"> </w:t>
      </w:r>
      <w:r w:rsidR="002B241A">
        <w:t xml:space="preserve"> </w:t>
      </w:r>
      <w:r>
        <w:t>附则</w:t>
      </w:r>
    </w:p>
    <w:p w:rsidR="00BC17E8" w:rsidRPr="00665684" w:rsidRDefault="006F32FC" w:rsidP="000D67A4">
      <w:pPr>
        <w:pStyle w:val="a5"/>
        <w:spacing w:line="360" w:lineRule="auto"/>
        <w:ind w:right="225" w:firstLine="481"/>
        <w:jc w:val="both"/>
        <w:rPr>
          <w:bCs/>
        </w:rPr>
      </w:pPr>
      <w:r w:rsidRPr="00665684">
        <w:rPr>
          <w:b/>
          <w:bCs/>
        </w:rPr>
        <w:t>第</w:t>
      </w:r>
      <w:r w:rsidRPr="00665684">
        <w:rPr>
          <w:rFonts w:hint="eastAsia"/>
          <w:b/>
          <w:bCs/>
        </w:rPr>
        <w:t>二</w:t>
      </w:r>
      <w:r w:rsidRPr="00665684">
        <w:rPr>
          <w:b/>
          <w:bCs/>
        </w:rPr>
        <w:t>十</w:t>
      </w:r>
      <w:r w:rsidR="007A25F9">
        <w:rPr>
          <w:rFonts w:hint="eastAsia"/>
          <w:b/>
          <w:bCs/>
        </w:rPr>
        <w:t>八</w:t>
      </w:r>
      <w:r w:rsidRPr="00665684">
        <w:rPr>
          <w:b/>
          <w:bCs/>
        </w:rPr>
        <w:t>条</w:t>
      </w:r>
      <w:r w:rsidRPr="000D67A4">
        <w:rPr>
          <w:bCs/>
        </w:rPr>
        <w:t xml:space="preserve"> </w:t>
      </w:r>
      <w:r w:rsidRPr="00665684">
        <w:rPr>
          <w:bCs/>
        </w:rPr>
        <w:t>本制度未尽事宜，依照有关法律、法规及《公司章程》的有关规定执行。</w:t>
      </w:r>
    </w:p>
    <w:p w:rsidR="00BC17E8" w:rsidRDefault="006F32FC" w:rsidP="00665684">
      <w:pPr>
        <w:pStyle w:val="a5"/>
        <w:spacing w:line="360" w:lineRule="auto"/>
        <w:ind w:left="587"/>
      </w:pPr>
      <w:r>
        <w:rPr>
          <w:b/>
          <w:bCs/>
        </w:rPr>
        <w:t>第</w:t>
      </w:r>
      <w:r w:rsidR="007A25F9">
        <w:rPr>
          <w:rFonts w:hint="eastAsia"/>
          <w:b/>
          <w:bCs/>
        </w:rPr>
        <w:t>二</w:t>
      </w:r>
      <w:r w:rsidR="001234C7">
        <w:rPr>
          <w:rFonts w:hint="eastAsia"/>
          <w:b/>
          <w:bCs/>
        </w:rPr>
        <w:t>十</w:t>
      </w:r>
      <w:r w:rsidR="007A25F9">
        <w:rPr>
          <w:rFonts w:hint="eastAsia"/>
          <w:b/>
          <w:bCs/>
        </w:rPr>
        <w:t>九</w:t>
      </w:r>
      <w:r>
        <w:rPr>
          <w:b/>
          <w:bCs/>
        </w:rPr>
        <w:t>条</w:t>
      </w:r>
      <w:r w:rsidR="002B241A">
        <w:rPr>
          <w:rFonts w:hint="eastAsia"/>
          <w:b/>
          <w:bCs/>
        </w:rPr>
        <w:t xml:space="preserve"> </w:t>
      </w:r>
      <w:r w:rsidR="007A25F9" w:rsidRPr="00597280">
        <w:rPr>
          <w:rFonts w:hint="eastAsia"/>
          <w:color w:val="000000"/>
        </w:rPr>
        <w:t>本制度自</w:t>
      </w:r>
      <w:r w:rsidR="007A25F9">
        <w:rPr>
          <w:rFonts w:hint="eastAsia"/>
          <w:color w:val="000000"/>
        </w:rPr>
        <w:t>董事会审议通过之日起生效</w:t>
      </w:r>
      <w:r w:rsidR="007A25F9" w:rsidRPr="00597280">
        <w:rPr>
          <w:rFonts w:hint="eastAsia"/>
          <w:color w:val="000000"/>
        </w:rPr>
        <w:t>。</w:t>
      </w:r>
      <w:r w:rsidR="007A25F9" w:rsidRPr="005A5665">
        <w:rPr>
          <w:rFonts w:hint="eastAsia"/>
        </w:rPr>
        <w:t>本制度由公司董事会负责解释</w:t>
      </w:r>
      <w:r w:rsidR="007A25F9">
        <w:rPr>
          <w:rFonts w:hint="eastAsia"/>
        </w:rPr>
        <w:t>。</w:t>
      </w:r>
    </w:p>
    <w:p w:rsidR="00BC17E8" w:rsidRDefault="00BC17E8">
      <w:pPr>
        <w:pStyle w:val="a5"/>
        <w:tabs>
          <w:tab w:val="left" w:pos="2028"/>
        </w:tabs>
        <w:spacing w:line="360" w:lineRule="auto"/>
        <w:ind w:left="587"/>
      </w:pPr>
      <w:bookmarkStart w:id="0" w:name="_GoBack"/>
      <w:bookmarkEnd w:id="0"/>
    </w:p>
    <w:p w:rsidR="00BC17E8" w:rsidRDefault="00BC17E8">
      <w:pPr>
        <w:pStyle w:val="a5"/>
        <w:tabs>
          <w:tab w:val="left" w:pos="2028"/>
        </w:tabs>
        <w:spacing w:line="360" w:lineRule="auto"/>
        <w:ind w:left="587"/>
      </w:pPr>
    </w:p>
    <w:p w:rsidR="00BC17E8" w:rsidRDefault="006F32FC">
      <w:pPr>
        <w:pStyle w:val="a5"/>
        <w:tabs>
          <w:tab w:val="left" w:pos="2028"/>
        </w:tabs>
        <w:spacing w:line="360" w:lineRule="auto"/>
        <w:ind w:left="587"/>
        <w:jc w:val="right"/>
      </w:pPr>
      <w:r>
        <w:rPr>
          <w:rFonts w:hint="eastAsia"/>
        </w:rPr>
        <w:t>江苏中利集团股份有限公司</w:t>
      </w:r>
    </w:p>
    <w:p w:rsidR="00BC17E8" w:rsidRDefault="001234C7" w:rsidP="00FF52FF">
      <w:pPr>
        <w:pStyle w:val="a5"/>
        <w:tabs>
          <w:tab w:val="left" w:pos="2028"/>
        </w:tabs>
        <w:spacing w:line="360" w:lineRule="auto"/>
        <w:ind w:left="587" w:right="480"/>
        <w:jc w:val="right"/>
      </w:pPr>
      <w:r>
        <w:rPr>
          <w:rFonts w:hint="eastAsia"/>
        </w:rPr>
        <w:t>2025</w:t>
      </w:r>
      <w:r w:rsidR="006F32FC">
        <w:rPr>
          <w:rFonts w:hint="eastAsia"/>
        </w:rPr>
        <w:t>年</w:t>
      </w:r>
      <w:r w:rsidR="00FF52FF">
        <w:t>8</w:t>
      </w:r>
      <w:r w:rsidR="006F32FC">
        <w:rPr>
          <w:rFonts w:hint="eastAsia"/>
        </w:rPr>
        <w:t>月</w:t>
      </w:r>
      <w:r w:rsidR="00FF52FF">
        <w:t>28</w:t>
      </w:r>
      <w:r>
        <w:rPr>
          <w:rFonts w:hint="eastAsia"/>
        </w:rPr>
        <w:t>日</w:t>
      </w:r>
    </w:p>
    <w:sectPr w:rsidR="00BC17E8" w:rsidSect="00C338C0">
      <w:footerReference w:type="default" r:id="rId9"/>
      <w:pgSz w:w="11910" w:h="16850"/>
      <w:pgMar w:top="1280" w:right="1120" w:bottom="1200" w:left="1260" w:header="0" w:footer="10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40C" w:rsidRDefault="00CC640C">
      <w:r>
        <w:separator/>
      </w:r>
    </w:p>
  </w:endnote>
  <w:endnote w:type="continuationSeparator" w:id="0">
    <w:p w:rsidR="00CC640C" w:rsidRDefault="00CC6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7E8" w:rsidRDefault="00662A56">
    <w:pPr>
      <w:pStyle w:val="a5"/>
      <w:spacing w:line="14" w:lineRule="auto"/>
      <w:ind w:left="0"/>
      <w:rPr>
        <w:sz w:val="20"/>
      </w:rPr>
    </w:pPr>
    <w:r w:rsidRPr="001204AB">
      <w:rPr>
        <w:noProof/>
        <w:lang w:val="en-US" w:bidi="ar-SA"/>
      </w:rPr>
      <mc:AlternateContent>
        <mc:Choice Requires="wps">
          <w:drawing>
            <wp:anchor distT="0" distB="0" distL="114300" distR="114300" simplePos="0" relativeHeight="251657728" behindDoc="1" locked="0" layoutInCell="1" allowOverlap="1">
              <wp:simplePos x="0" y="0"/>
              <wp:positionH relativeFrom="page">
                <wp:posOffset>3732530</wp:posOffset>
              </wp:positionH>
              <wp:positionV relativeFrom="page">
                <wp:posOffset>9918065</wp:posOffset>
              </wp:positionV>
              <wp:extent cx="107950" cy="139700"/>
              <wp:effectExtent l="0" t="2540" r="0"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17E8" w:rsidRDefault="001204AB">
                          <w:pPr>
                            <w:spacing w:line="220" w:lineRule="exact"/>
                            <w:ind w:left="40"/>
                            <w:rPr>
                              <w:sz w:val="18"/>
                            </w:rPr>
                          </w:pPr>
                          <w:r>
                            <w:fldChar w:fldCharType="begin"/>
                          </w:r>
                          <w:r w:rsidR="006F32FC">
                            <w:rPr>
                              <w:sz w:val="18"/>
                            </w:rPr>
                            <w:instrText xml:space="preserve"> PAGE </w:instrText>
                          </w:r>
                          <w:r>
                            <w:fldChar w:fldCharType="separate"/>
                          </w:r>
                          <w:r w:rsidR="007A25F9">
                            <w:rPr>
                              <w:noProof/>
                              <w:sz w:val="18"/>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3.9pt;margin-top:780.95pt;width:8.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6XTqwIAAKgFAAAOAAAAZHJzL2Uyb0RvYy54bWysVG1vmzAQ/j5p/8Hydwqk5AUUUqUhTJO6&#10;F6ndD3DABGvGZrYT6Kb9951NSZNWk6ZtfLDO9vm5e+4ebnnTNxwdqdJMihSHVwFGVBSyZGKf4i8P&#10;ubfASBsiSsKloCl+pBrfrN6+WXZtQieylrykCgGI0EnXprg2pk18Xxc1bYi+ki0VcFlJ1RADW7X3&#10;S0U6QG+4PwmCmd9JVbZKFlRrOM2GS7xy+FVFC/OpqjQ1iKcYcjNuVW7d2dVfLUmyV6StWfGUBvmL&#10;LBrCBAQ9QWXEEHRQ7BVUwwoltazMVSEbX1YVK6jjAGzC4AWb+5q01HGB4uj2VCb9/2CLj8fPCrES&#10;eoeRIA206IH2Bt3KHoW2Ol2rE3C6b8HN9HBsPS1T3d7J4qtGQm5qIvZ0rZTsakpKyM699M+eDjja&#10;guy6D7KEMORgpAPqK9VYQCgGAnTo0uOpMzaVwoYM5vEUbgq4Cq/jeeA655NkfNwqbd5R2SBrpFhB&#10;4x04Od5pAzTAdXSxsYTMGeeu+VxcHIDjcAKh4am9s0m4Xv6Ig3i72C4iL5rMtl4UZJm3zjeRN8vD&#10;+TS7zjabLPxp44ZRUrOypMKGGXUVRn/WtyeFD4o4KUtLzkoLZ1PSar/bcIWOBHSdu882C5I/c/Mv&#10;03DXwOUFpXASBbeT2Mtni7kX5dHUg/IuvCCMb+NZEMVRll9SumOC/jsl1KU4nk6mg5Z+yy1w32tu&#10;JGmYgcnBWZPixcmJJFaBW1G61hrC+GCflcKm/1wKqNjYaKdXK9FBrKbf9YBiRbyT5SMoV0lQFogQ&#10;xh0YtVTfMepgdKRYfzsQRTHi7wWo386Z0VCjsRsNIgp4mmKD0WBuzDCPDq1i+xqQh/9LyDX8IRVz&#10;6n3OAlK3GxgHjsTT6LLz5nzvvJ4H7OoXAAAA//8DAFBLAwQUAAYACAAAACEAKd6c8uEAAAANAQAA&#10;DwAAAGRycy9kb3ducmV2LnhtbEyPwU7DMBBE70j8g7VI3KhdoCEJcaoKwQkJNQ0Hjk7sJlbjdYjd&#10;Nvw92xMcd2Y0+6ZYz25gJzMF61HCciGAGWy9tthJ+Kzf7lJgISrUavBoJPyYAOvy+qpQufZnrMxp&#10;FztGJRhyJaGPccw5D21vnAoLPxokb+8npyKdU8f1pM5U7gZ+L0TCnbJIH3o1mpfetIfd0UnYfGH1&#10;ar8/mm21r2xdZwLfk4OUtzfz5hlYNHP8C8MFn9ChJKbGH1EHNkhYpU+EHslYJcsMGEUS8UhSc5HS&#10;hwx4WfD/K8pfAAAA//8DAFBLAQItABQABgAIAAAAIQC2gziS/gAAAOEBAAATAAAAAAAAAAAAAAAA&#10;AAAAAABbQ29udGVudF9UeXBlc10ueG1sUEsBAi0AFAAGAAgAAAAhADj9If/WAAAAlAEAAAsAAAAA&#10;AAAAAAAAAAAALwEAAF9yZWxzLy5yZWxzUEsBAi0AFAAGAAgAAAAhAFwzpdOrAgAAqAUAAA4AAAAA&#10;AAAAAAAAAAAALgIAAGRycy9lMm9Eb2MueG1sUEsBAi0AFAAGAAgAAAAhACnenPLhAAAADQEAAA8A&#10;AAAAAAAAAAAAAAAABQUAAGRycy9kb3ducmV2LnhtbFBLBQYAAAAABAAEAPMAAAATBgAAAAA=&#10;" filled="f" stroked="f">
              <v:textbox inset="0,0,0,0">
                <w:txbxContent>
                  <w:p w:rsidR="00BC17E8" w:rsidRDefault="001204AB">
                    <w:pPr>
                      <w:spacing w:line="220" w:lineRule="exact"/>
                      <w:ind w:left="40"/>
                      <w:rPr>
                        <w:sz w:val="18"/>
                      </w:rPr>
                    </w:pPr>
                    <w:r>
                      <w:fldChar w:fldCharType="begin"/>
                    </w:r>
                    <w:r w:rsidR="006F32FC">
                      <w:rPr>
                        <w:sz w:val="18"/>
                      </w:rPr>
                      <w:instrText xml:space="preserve"> PAGE </w:instrText>
                    </w:r>
                    <w:r>
                      <w:fldChar w:fldCharType="separate"/>
                    </w:r>
                    <w:r w:rsidR="007A25F9">
                      <w:rPr>
                        <w:noProof/>
                        <w:sz w:val="18"/>
                      </w:rPr>
                      <w:t>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40C" w:rsidRDefault="00CC640C">
      <w:r>
        <w:separator/>
      </w:r>
    </w:p>
  </w:footnote>
  <w:footnote w:type="continuationSeparator" w:id="0">
    <w:p w:rsidR="00CC640C" w:rsidRDefault="00CC64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F778E"/>
    <w:multiLevelType w:val="multilevel"/>
    <w:tmpl w:val="280F778E"/>
    <w:lvl w:ilvl="0">
      <w:start w:val="2"/>
      <w:numFmt w:val="decimal"/>
      <w:lvlText w:val="%1."/>
      <w:lvlJc w:val="left"/>
      <w:pPr>
        <w:ind w:left="106" w:hanging="361"/>
      </w:pPr>
      <w:rPr>
        <w:rFonts w:ascii="宋体" w:eastAsia="宋体" w:hAnsi="宋体" w:cs="宋体" w:hint="default"/>
        <w:spacing w:val="-30"/>
        <w:w w:val="100"/>
        <w:sz w:val="22"/>
        <w:szCs w:val="22"/>
        <w:lang w:val="zh-CN" w:eastAsia="zh-CN" w:bidi="zh-CN"/>
      </w:rPr>
    </w:lvl>
    <w:lvl w:ilvl="1">
      <w:numFmt w:val="bullet"/>
      <w:lvlText w:val="•"/>
      <w:lvlJc w:val="left"/>
      <w:pPr>
        <w:ind w:left="1043" w:hanging="361"/>
      </w:pPr>
      <w:rPr>
        <w:rFonts w:hint="default"/>
        <w:lang w:val="zh-CN" w:eastAsia="zh-CN" w:bidi="zh-CN"/>
      </w:rPr>
    </w:lvl>
    <w:lvl w:ilvl="2">
      <w:numFmt w:val="bullet"/>
      <w:lvlText w:val="•"/>
      <w:lvlJc w:val="left"/>
      <w:pPr>
        <w:ind w:left="1986" w:hanging="361"/>
      </w:pPr>
      <w:rPr>
        <w:rFonts w:hint="default"/>
        <w:lang w:val="zh-CN" w:eastAsia="zh-CN" w:bidi="zh-CN"/>
      </w:rPr>
    </w:lvl>
    <w:lvl w:ilvl="3">
      <w:numFmt w:val="bullet"/>
      <w:lvlText w:val="•"/>
      <w:lvlJc w:val="left"/>
      <w:pPr>
        <w:ind w:left="2929" w:hanging="361"/>
      </w:pPr>
      <w:rPr>
        <w:rFonts w:hint="default"/>
        <w:lang w:val="zh-CN" w:eastAsia="zh-CN" w:bidi="zh-CN"/>
      </w:rPr>
    </w:lvl>
    <w:lvl w:ilvl="4">
      <w:numFmt w:val="bullet"/>
      <w:lvlText w:val="•"/>
      <w:lvlJc w:val="left"/>
      <w:pPr>
        <w:ind w:left="3872" w:hanging="361"/>
      </w:pPr>
      <w:rPr>
        <w:rFonts w:hint="default"/>
        <w:lang w:val="zh-CN" w:eastAsia="zh-CN" w:bidi="zh-CN"/>
      </w:rPr>
    </w:lvl>
    <w:lvl w:ilvl="5">
      <w:numFmt w:val="bullet"/>
      <w:lvlText w:val="•"/>
      <w:lvlJc w:val="left"/>
      <w:pPr>
        <w:ind w:left="4815" w:hanging="361"/>
      </w:pPr>
      <w:rPr>
        <w:rFonts w:hint="default"/>
        <w:lang w:val="zh-CN" w:eastAsia="zh-CN" w:bidi="zh-CN"/>
      </w:rPr>
    </w:lvl>
    <w:lvl w:ilvl="6">
      <w:numFmt w:val="bullet"/>
      <w:lvlText w:val="•"/>
      <w:lvlJc w:val="left"/>
      <w:pPr>
        <w:ind w:left="5758" w:hanging="361"/>
      </w:pPr>
      <w:rPr>
        <w:rFonts w:hint="default"/>
        <w:lang w:val="zh-CN" w:eastAsia="zh-CN" w:bidi="zh-CN"/>
      </w:rPr>
    </w:lvl>
    <w:lvl w:ilvl="7">
      <w:numFmt w:val="bullet"/>
      <w:lvlText w:val="•"/>
      <w:lvlJc w:val="left"/>
      <w:pPr>
        <w:ind w:left="6701" w:hanging="361"/>
      </w:pPr>
      <w:rPr>
        <w:rFonts w:hint="default"/>
        <w:lang w:val="zh-CN" w:eastAsia="zh-CN" w:bidi="zh-CN"/>
      </w:rPr>
    </w:lvl>
    <w:lvl w:ilvl="8">
      <w:numFmt w:val="bullet"/>
      <w:lvlText w:val="•"/>
      <w:lvlJc w:val="left"/>
      <w:pPr>
        <w:ind w:left="7644" w:hanging="361"/>
      </w:pPr>
      <w:rPr>
        <w:rFonts w:hint="default"/>
        <w:lang w:val="zh-CN" w:eastAsia="zh-CN" w:bidi="zh-CN"/>
      </w:rPr>
    </w:lvl>
  </w:abstractNum>
  <w:abstractNum w:abstractNumId="1" w15:restartNumberingAfterBreak="0">
    <w:nsid w:val="67992C5C"/>
    <w:multiLevelType w:val="multilevel"/>
    <w:tmpl w:val="67992C5C"/>
    <w:lvl w:ilvl="0">
      <w:start w:val="1"/>
      <w:numFmt w:val="decimal"/>
      <w:lvlText w:val="%1."/>
      <w:lvlJc w:val="left"/>
      <w:pPr>
        <w:ind w:left="948" w:hanging="361"/>
      </w:pPr>
      <w:rPr>
        <w:rFonts w:ascii="宋体" w:eastAsia="宋体" w:hAnsi="宋体" w:cs="宋体" w:hint="default"/>
        <w:spacing w:val="-4"/>
        <w:w w:val="100"/>
        <w:sz w:val="22"/>
        <w:szCs w:val="22"/>
        <w:lang w:val="zh-CN" w:eastAsia="zh-CN" w:bidi="zh-CN"/>
      </w:rPr>
    </w:lvl>
    <w:lvl w:ilvl="1">
      <w:numFmt w:val="bullet"/>
      <w:lvlText w:val="•"/>
      <w:lvlJc w:val="left"/>
      <w:pPr>
        <w:ind w:left="1799" w:hanging="361"/>
      </w:pPr>
      <w:rPr>
        <w:rFonts w:hint="default"/>
        <w:lang w:val="zh-CN" w:eastAsia="zh-CN" w:bidi="zh-CN"/>
      </w:rPr>
    </w:lvl>
    <w:lvl w:ilvl="2">
      <w:numFmt w:val="bullet"/>
      <w:lvlText w:val="•"/>
      <w:lvlJc w:val="left"/>
      <w:pPr>
        <w:ind w:left="2658" w:hanging="361"/>
      </w:pPr>
      <w:rPr>
        <w:rFonts w:hint="default"/>
        <w:lang w:val="zh-CN" w:eastAsia="zh-CN" w:bidi="zh-CN"/>
      </w:rPr>
    </w:lvl>
    <w:lvl w:ilvl="3">
      <w:numFmt w:val="bullet"/>
      <w:lvlText w:val="•"/>
      <w:lvlJc w:val="left"/>
      <w:pPr>
        <w:ind w:left="3517" w:hanging="361"/>
      </w:pPr>
      <w:rPr>
        <w:rFonts w:hint="default"/>
        <w:lang w:val="zh-CN" w:eastAsia="zh-CN" w:bidi="zh-CN"/>
      </w:rPr>
    </w:lvl>
    <w:lvl w:ilvl="4">
      <w:numFmt w:val="bullet"/>
      <w:lvlText w:val="•"/>
      <w:lvlJc w:val="left"/>
      <w:pPr>
        <w:ind w:left="4376" w:hanging="361"/>
      </w:pPr>
      <w:rPr>
        <w:rFonts w:hint="default"/>
        <w:lang w:val="zh-CN" w:eastAsia="zh-CN" w:bidi="zh-CN"/>
      </w:rPr>
    </w:lvl>
    <w:lvl w:ilvl="5">
      <w:numFmt w:val="bullet"/>
      <w:lvlText w:val="•"/>
      <w:lvlJc w:val="left"/>
      <w:pPr>
        <w:ind w:left="5235" w:hanging="361"/>
      </w:pPr>
      <w:rPr>
        <w:rFonts w:hint="default"/>
        <w:lang w:val="zh-CN" w:eastAsia="zh-CN" w:bidi="zh-CN"/>
      </w:rPr>
    </w:lvl>
    <w:lvl w:ilvl="6">
      <w:numFmt w:val="bullet"/>
      <w:lvlText w:val="•"/>
      <w:lvlJc w:val="left"/>
      <w:pPr>
        <w:ind w:left="6094" w:hanging="361"/>
      </w:pPr>
      <w:rPr>
        <w:rFonts w:hint="default"/>
        <w:lang w:val="zh-CN" w:eastAsia="zh-CN" w:bidi="zh-CN"/>
      </w:rPr>
    </w:lvl>
    <w:lvl w:ilvl="7">
      <w:numFmt w:val="bullet"/>
      <w:lvlText w:val="•"/>
      <w:lvlJc w:val="left"/>
      <w:pPr>
        <w:ind w:left="6953" w:hanging="361"/>
      </w:pPr>
      <w:rPr>
        <w:rFonts w:hint="default"/>
        <w:lang w:val="zh-CN" w:eastAsia="zh-CN" w:bidi="zh-CN"/>
      </w:rPr>
    </w:lvl>
    <w:lvl w:ilvl="8">
      <w:numFmt w:val="bullet"/>
      <w:lvlText w:val="•"/>
      <w:lvlJc w:val="left"/>
      <w:pPr>
        <w:ind w:left="7812" w:hanging="361"/>
      </w:pPr>
      <w:rPr>
        <w:rFonts w:hint="default"/>
        <w:lang w:val="zh-CN" w:eastAsia="zh-CN" w:bidi="zh-CN"/>
      </w:rPr>
    </w:lvl>
  </w:abstractNum>
  <w:abstractNum w:abstractNumId="2" w15:restartNumberingAfterBreak="0">
    <w:nsid w:val="69355650"/>
    <w:multiLevelType w:val="multilevel"/>
    <w:tmpl w:val="69355650"/>
    <w:lvl w:ilvl="0">
      <w:start w:val="1"/>
      <w:numFmt w:val="decimal"/>
      <w:lvlText w:val="%1."/>
      <w:lvlJc w:val="left"/>
      <w:pPr>
        <w:ind w:left="948" w:hanging="361"/>
      </w:pPr>
      <w:rPr>
        <w:rFonts w:ascii="宋体" w:eastAsia="宋体" w:hAnsi="宋体" w:cs="宋体" w:hint="default"/>
        <w:w w:val="100"/>
        <w:sz w:val="22"/>
        <w:szCs w:val="22"/>
        <w:lang w:val="zh-CN" w:eastAsia="zh-CN" w:bidi="zh-CN"/>
      </w:rPr>
    </w:lvl>
    <w:lvl w:ilvl="1">
      <w:numFmt w:val="bullet"/>
      <w:lvlText w:val="•"/>
      <w:lvlJc w:val="left"/>
      <w:pPr>
        <w:ind w:left="1799" w:hanging="361"/>
      </w:pPr>
      <w:rPr>
        <w:rFonts w:hint="default"/>
        <w:lang w:val="zh-CN" w:eastAsia="zh-CN" w:bidi="zh-CN"/>
      </w:rPr>
    </w:lvl>
    <w:lvl w:ilvl="2">
      <w:numFmt w:val="bullet"/>
      <w:lvlText w:val="•"/>
      <w:lvlJc w:val="left"/>
      <w:pPr>
        <w:ind w:left="2658" w:hanging="361"/>
      </w:pPr>
      <w:rPr>
        <w:rFonts w:hint="default"/>
        <w:lang w:val="zh-CN" w:eastAsia="zh-CN" w:bidi="zh-CN"/>
      </w:rPr>
    </w:lvl>
    <w:lvl w:ilvl="3">
      <w:numFmt w:val="bullet"/>
      <w:lvlText w:val="•"/>
      <w:lvlJc w:val="left"/>
      <w:pPr>
        <w:ind w:left="3517" w:hanging="361"/>
      </w:pPr>
      <w:rPr>
        <w:rFonts w:hint="default"/>
        <w:lang w:val="zh-CN" w:eastAsia="zh-CN" w:bidi="zh-CN"/>
      </w:rPr>
    </w:lvl>
    <w:lvl w:ilvl="4">
      <w:numFmt w:val="bullet"/>
      <w:lvlText w:val="•"/>
      <w:lvlJc w:val="left"/>
      <w:pPr>
        <w:ind w:left="4376" w:hanging="361"/>
      </w:pPr>
      <w:rPr>
        <w:rFonts w:hint="default"/>
        <w:lang w:val="zh-CN" w:eastAsia="zh-CN" w:bidi="zh-CN"/>
      </w:rPr>
    </w:lvl>
    <w:lvl w:ilvl="5">
      <w:numFmt w:val="bullet"/>
      <w:lvlText w:val="•"/>
      <w:lvlJc w:val="left"/>
      <w:pPr>
        <w:ind w:left="5235" w:hanging="361"/>
      </w:pPr>
      <w:rPr>
        <w:rFonts w:hint="default"/>
        <w:lang w:val="zh-CN" w:eastAsia="zh-CN" w:bidi="zh-CN"/>
      </w:rPr>
    </w:lvl>
    <w:lvl w:ilvl="6">
      <w:numFmt w:val="bullet"/>
      <w:lvlText w:val="•"/>
      <w:lvlJc w:val="left"/>
      <w:pPr>
        <w:ind w:left="6094" w:hanging="361"/>
      </w:pPr>
      <w:rPr>
        <w:rFonts w:hint="default"/>
        <w:lang w:val="zh-CN" w:eastAsia="zh-CN" w:bidi="zh-CN"/>
      </w:rPr>
    </w:lvl>
    <w:lvl w:ilvl="7">
      <w:numFmt w:val="bullet"/>
      <w:lvlText w:val="•"/>
      <w:lvlJc w:val="left"/>
      <w:pPr>
        <w:ind w:left="6953" w:hanging="361"/>
      </w:pPr>
      <w:rPr>
        <w:rFonts w:hint="default"/>
        <w:lang w:val="zh-CN" w:eastAsia="zh-CN" w:bidi="zh-CN"/>
      </w:rPr>
    </w:lvl>
    <w:lvl w:ilvl="8">
      <w:numFmt w:val="bullet"/>
      <w:lvlText w:val="•"/>
      <w:lvlJc w:val="left"/>
      <w:pPr>
        <w:ind w:left="7812" w:hanging="361"/>
      </w:pPr>
      <w:rPr>
        <w:rFonts w:hint="default"/>
        <w:lang w:val="zh-CN" w:eastAsia="zh-CN" w:bidi="zh-C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C44"/>
    <w:rsid w:val="00014DC9"/>
    <w:rsid w:val="000426C0"/>
    <w:rsid w:val="00052535"/>
    <w:rsid w:val="00065EB2"/>
    <w:rsid w:val="00075BBD"/>
    <w:rsid w:val="00083A32"/>
    <w:rsid w:val="000D67A4"/>
    <w:rsid w:val="000F4B4C"/>
    <w:rsid w:val="000F6D8A"/>
    <w:rsid w:val="00114538"/>
    <w:rsid w:val="001204AB"/>
    <w:rsid w:val="00122111"/>
    <w:rsid w:val="001234C7"/>
    <w:rsid w:val="001461AE"/>
    <w:rsid w:val="001841AA"/>
    <w:rsid w:val="001A1D21"/>
    <w:rsid w:val="001A3EF6"/>
    <w:rsid w:val="001C0A9B"/>
    <w:rsid w:val="001E2201"/>
    <w:rsid w:val="001F5FBB"/>
    <w:rsid w:val="00213624"/>
    <w:rsid w:val="00217BB0"/>
    <w:rsid w:val="0022435E"/>
    <w:rsid w:val="00240AB0"/>
    <w:rsid w:val="00246BB3"/>
    <w:rsid w:val="002875E7"/>
    <w:rsid w:val="002B241A"/>
    <w:rsid w:val="002B7724"/>
    <w:rsid w:val="002E359E"/>
    <w:rsid w:val="00301813"/>
    <w:rsid w:val="00310839"/>
    <w:rsid w:val="00311F7D"/>
    <w:rsid w:val="00312A96"/>
    <w:rsid w:val="00345401"/>
    <w:rsid w:val="00347D03"/>
    <w:rsid w:val="00352430"/>
    <w:rsid w:val="00397E72"/>
    <w:rsid w:val="003E632D"/>
    <w:rsid w:val="00402D60"/>
    <w:rsid w:val="00407445"/>
    <w:rsid w:val="004379FC"/>
    <w:rsid w:val="00445B68"/>
    <w:rsid w:val="004468AC"/>
    <w:rsid w:val="00460584"/>
    <w:rsid w:val="004734F5"/>
    <w:rsid w:val="00481241"/>
    <w:rsid w:val="004A5CCC"/>
    <w:rsid w:val="004A7F96"/>
    <w:rsid w:val="004D6012"/>
    <w:rsid w:val="00501596"/>
    <w:rsid w:val="00593C38"/>
    <w:rsid w:val="005B0C20"/>
    <w:rsid w:val="005D2D8D"/>
    <w:rsid w:val="005D7825"/>
    <w:rsid w:val="005E38FC"/>
    <w:rsid w:val="00623073"/>
    <w:rsid w:val="00632FA5"/>
    <w:rsid w:val="00662A56"/>
    <w:rsid w:val="00665684"/>
    <w:rsid w:val="006747D2"/>
    <w:rsid w:val="006D4393"/>
    <w:rsid w:val="006D6665"/>
    <w:rsid w:val="006F2987"/>
    <w:rsid w:val="006F32FC"/>
    <w:rsid w:val="00716BEE"/>
    <w:rsid w:val="007635F2"/>
    <w:rsid w:val="007652E4"/>
    <w:rsid w:val="00772D66"/>
    <w:rsid w:val="00792925"/>
    <w:rsid w:val="007A25F9"/>
    <w:rsid w:val="007C6023"/>
    <w:rsid w:val="00806E6E"/>
    <w:rsid w:val="008530C5"/>
    <w:rsid w:val="00874B81"/>
    <w:rsid w:val="008A1381"/>
    <w:rsid w:val="008A2083"/>
    <w:rsid w:val="008C11EE"/>
    <w:rsid w:val="008D0CD5"/>
    <w:rsid w:val="008F4AF0"/>
    <w:rsid w:val="00902375"/>
    <w:rsid w:val="00922C1D"/>
    <w:rsid w:val="0095691A"/>
    <w:rsid w:val="009751A7"/>
    <w:rsid w:val="0098234F"/>
    <w:rsid w:val="009B2C58"/>
    <w:rsid w:val="009D35BB"/>
    <w:rsid w:val="009D3A85"/>
    <w:rsid w:val="009D53D3"/>
    <w:rsid w:val="00A575CD"/>
    <w:rsid w:val="00A70E95"/>
    <w:rsid w:val="00A7358A"/>
    <w:rsid w:val="00A909C8"/>
    <w:rsid w:val="00AA4922"/>
    <w:rsid w:val="00AB30D5"/>
    <w:rsid w:val="00AC1314"/>
    <w:rsid w:val="00B03DAC"/>
    <w:rsid w:val="00B063BD"/>
    <w:rsid w:val="00B065D9"/>
    <w:rsid w:val="00B310A4"/>
    <w:rsid w:val="00B56D56"/>
    <w:rsid w:val="00B92FFA"/>
    <w:rsid w:val="00BA465C"/>
    <w:rsid w:val="00BC031E"/>
    <w:rsid w:val="00BC17E8"/>
    <w:rsid w:val="00BE45ED"/>
    <w:rsid w:val="00BE73D3"/>
    <w:rsid w:val="00BF3637"/>
    <w:rsid w:val="00C01C44"/>
    <w:rsid w:val="00C13C5C"/>
    <w:rsid w:val="00C338C0"/>
    <w:rsid w:val="00C40769"/>
    <w:rsid w:val="00C63D18"/>
    <w:rsid w:val="00C646CC"/>
    <w:rsid w:val="00C70330"/>
    <w:rsid w:val="00C70DDE"/>
    <w:rsid w:val="00C75D9B"/>
    <w:rsid w:val="00C953FE"/>
    <w:rsid w:val="00CC4E80"/>
    <w:rsid w:val="00CC4EE7"/>
    <w:rsid w:val="00CC640C"/>
    <w:rsid w:val="00D1418E"/>
    <w:rsid w:val="00D234E1"/>
    <w:rsid w:val="00D31427"/>
    <w:rsid w:val="00D50881"/>
    <w:rsid w:val="00D54A8D"/>
    <w:rsid w:val="00D72CEC"/>
    <w:rsid w:val="00DB2058"/>
    <w:rsid w:val="00DC1A65"/>
    <w:rsid w:val="00DF23E7"/>
    <w:rsid w:val="00E04929"/>
    <w:rsid w:val="00E0645E"/>
    <w:rsid w:val="00E25A43"/>
    <w:rsid w:val="00E3419D"/>
    <w:rsid w:val="00E50D21"/>
    <w:rsid w:val="00E66E77"/>
    <w:rsid w:val="00E75FDD"/>
    <w:rsid w:val="00F43A3E"/>
    <w:rsid w:val="00F66514"/>
    <w:rsid w:val="00F97E24"/>
    <w:rsid w:val="00FD3A5C"/>
    <w:rsid w:val="00FF52FF"/>
    <w:rsid w:val="0515292B"/>
    <w:rsid w:val="28636A02"/>
    <w:rsid w:val="3F122DAB"/>
    <w:rsid w:val="4FFA6046"/>
    <w:rsid w:val="5D834261"/>
    <w:rsid w:val="6C7E1BA3"/>
    <w:rsid w:val="6D4800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3D3FBD"/>
  <w15:chartTrackingRefBased/>
  <w15:docId w15:val="{48FC3CD5-5167-4F83-A023-30C2AD358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8C0"/>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rsid w:val="00C338C0"/>
    <w:pPr>
      <w:ind w:left="3245"/>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C338C0"/>
  </w:style>
  <w:style w:type="paragraph" w:styleId="a5">
    <w:name w:val="Body Text"/>
    <w:basedOn w:val="a"/>
    <w:uiPriority w:val="1"/>
    <w:qFormat/>
    <w:rsid w:val="00C338C0"/>
    <w:pPr>
      <w:ind w:left="106"/>
    </w:pPr>
    <w:rPr>
      <w:sz w:val="24"/>
      <w:szCs w:val="24"/>
    </w:rPr>
  </w:style>
  <w:style w:type="paragraph" w:styleId="a6">
    <w:name w:val="Balloon Text"/>
    <w:basedOn w:val="a"/>
    <w:link w:val="a7"/>
    <w:uiPriority w:val="99"/>
    <w:semiHidden/>
    <w:unhideWhenUsed/>
    <w:qFormat/>
    <w:rsid w:val="00C338C0"/>
    <w:rPr>
      <w:sz w:val="18"/>
      <w:szCs w:val="18"/>
    </w:rPr>
  </w:style>
  <w:style w:type="paragraph" w:styleId="a8">
    <w:name w:val="footer"/>
    <w:basedOn w:val="a"/>
    <w:link w:val="a9"/>
    <w:uiPriority w:val="99"/>
    <w:unhideWhenUsed/>
    <w:rsid w:val="00C338C0"/>
    <w:pPr>
      <w:tabs>
        <w:tab w:val="center" w:pos="4153"/>
        <w:tab w:val="right" w:pos="8306"/>
      </w:tabs>
      <w:snapToGrid w:val="0"/>
    </w:pPr>
    <w:rPr>
      <w:sz w:val="18"/>
      <w:szCs w:val="18"/>
    </w:rPr>
  </w:style>
  <w:style w:type="paragraph" w:styleId="aa">
    <w:name w:val="header"/>
    <w:basedOn w:val="a"/>
    <w:link w:val="ab"/>
    <w:uiPriority w:val="99"/>
    <w:unhideWhenUsed/>
    <w:rsid w:val="00C338C0"/>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ad"/>
    <w:uiPriority w:val="99"/>
    <w:semiHidden/>
    <w:unhideWhenUsed/>
    <w:qFormat/>
    <w:rsid w:val="00C338C0"/>
    <w:rPr>
      <w:b/>
      <w:bCs/>
    </w:rPr>
  </w:style>
  <w:style w:type="character" w:styleId="ae">
    <w:name w:val="annotation reference"/>
    <w:uiPriority w:val="99"/>
    <w:semiHidden/>
    <w:unhideWhenUsed/>
    <w:qFormat/>
    <w:rsid w:val="00C338C0"/>
    <w:rPr>
      <w:sz w:val="21"/>
      <w:szCs w:val="21"/>
    </w:rPr>
  </w:style>
  <w:style w:type="table" w:customStyle="1" w:styleId="TableNormal">
    <w:name w:val="Table Normal"/>
    <w:uiPriority w:val="2"/>
    <w:semiHidden/>
    <w:unhideWhenUsed/>
    <w:qFormat/>
    <w:rsid w:val="00C338C0"/>
    <w:tblPr>
      <w:tblCellMar>
        <w:top w:w="0" w:type="dxa"/>
        <w:left w:w="0" w:type="dxa"/>
        <w:bottom w:w="0" w:type="dxa"/>
        <w:right w:w="0" w:type="dxa"/>
      </w:tblCellMar>
    </w:tblPr>
  </w:style>
  <w:style w:type="paragraph" w:styleId="af">
    <w:name w:val="List Paragraph"/>
    <w:basedOn w:val="a"/>
    <w:uiPriority w:val="1"/>
    <w:qFormat/>
    <w:rsid w:val="00C338C0"/>
    <w:pPr>
      <w:ind w:left="948" w:hanging="362"/>
    </w:pPr>
  </w:style>
  <w:style w:type="paragraph" w:customStyle="1" w:styleId="TableParagraph">
    <w:name w:val="Table Paragraph"/>
    <w:basedOn w:val="a"/>
    <w:uiPriority w:val="1"/>
    <w:qFormat/>
    <w:rsid w:val="00C338C0"/>
  </w:style>
  <w:style w:type="character" w:customStyle="1" w:styleId="ab">
    <w:name w:val="页眉 字符"/>
    <w:link w:val="aa"/>
    <w:uiPriority w:val="99"/>
    <w:qFormat/>
    <w:rsid w:val="00C338C0"/>
    <w:rPr>
      <w:rFonts w:ascii="宋体" w:eastAsia="宋体" w:hAnsi="宋体" w:cs="宋体"/>
      <w:sz w:val="18"/>
      <w:szCs w:val="18"/>
      <w:lang w:val="zh-CN" w:eastAsia="zh-CN" w:bidi="zh-CN"/>
    </w:rPr>
  </w:style>
  <w:style w:type="character" w:customStyle="1" w:styleId="a9">
    <w:name w:val="页脚 字符"/>
    <w:link w:val="a8"/>
    <w:uiPriority w:val="99"/>
    <w:qFormat/>
    <w:rsid w:val="00C338C0"/>
    <w:rPr>
      <w:rFonts w:ascii="宋体" w:eastAsia="宋体" w:hAnsi="宋体" w:cs="宋体"/>
      <w:sz w:val="18"/>
      <w:szCs w:val="18"/>
      <w:lang w:val="zh-CN" w:eastAsia="zh-CN" w:bidi="zh-CN"/>
    </w:rPr>
  </w:style>
  <w:style w:type="character" w:customStyle="1" w:styleId="a7">
    <w:name w:val="批注框文本 字符"/>
    <w:link w:val="a6"/>
    <w:uiPriority w:val="99"/>
    <w:semiHidden/>
    <w:qFormat/>
    <w:rsid w:val="00C338C0"/>
    <w:rPr>
      <w:rFonts w:ascii="宋体" w:eastAsia="宋体" w:hAnsi="宋体" w:cs="宋体"/>
      <w:sz w:val="18"/>
      <w:szCs w:val="18"/>
      <w:lang w:val="zh-CN" w:bidi="zh-CN"/>
    </w:rPr>
  </w:style>
  <w:style w:type="character" w:customStyle="1" w:styleId="a4">
    <w:name w:val="批注文字 字符"/>
    <w:link w:val="a3"/>
    <w:uiPriority w:val="99"/>
    <w:semiHidden/>
    <w:qFormat/>
    <w:rsid w:val="00C338C0"/>
    <w:rPr>
      <w:rFonts w:ascii="宋体" w:eastAsia="宋体" w:hAnsi="宋体" w:cs="宋体"/>
      <w:sz w:val="22"/>
      <w:szCs w:val="22"/>
      <w:lang w:val="zh-CN" w:bidi="zh-CN"/>
    </w:rPr>
  </w:style>
  <w:style w:type="character" w:customStyle="1" w:styleId="ad">
    <w:name w:val="批注主题 字符"/>
    <w:link w:val="ac"/>
    <w:uiPriority w:val="99"/>
    <w:semiHidden/>
    <w:qFormat/>
    <w:rsid w:val="00C338C0"/>
    <w:rPr>
      <w:rFonts w:ascii="宋体" w:eastAsia="宋体" w:hAnsi="宋体" w:cs="宋体"/>
      <w:b/>
      <w:bCs/>
      <w:sz w:val="22"/>
      <w:szCs w:val="22"/>
      <w:lang w:val="zh-CN" w:bidi="zh-CN"/>
    </w:rPr>
  </w:style>
  <w:style w:type="paragraph" w:styleId="af0">
    <w:name w:val="Normal (Web)"/>
    <w:basedOn w:val="a"/>
    <w:uiPriority w:val="99"/>
    <w:semiHidden/>
    <w:unhideWhenUsed/>
    <w:rsid w:val="00AA4922"/>
    <w:pPr>
      <w:widowControl/>
      <w:autoSpaceDE/>
      <w:autoSpaceDN/>
      <w:spacing w:before="100" w:beforeAutospacing="1" w:after="100" w:afterAutospacing="1"/>
    </w:pPr>
    <w:rPr>
      <w:sz w:val="24"/>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0537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EE4784-17AE-40BA-843F-E5C4FFAF8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906</Words>
  <Characters>5167</Characters>
  <Application>Microsoft Office Word</Application>
  <DocSecurity>0</DocSecurity>
  <Lines>43</Lines>
  <Paragraphs>12</Paragraphs>
  <ScaleCrop>false</ScaleCrop>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zyl</dc:creator>
  <cp:keywords/>
  <cp:lastModifiedBy>宋泽林</cp:lastModifiedBy>
  <cp:revision>9</cp:revision>
  <dcterms:created xsi:type="dcterms:W3CDTF">2025-08-18T01:49:00Z</dcterms:created>
  <dcterms:modified xsi:type="dcterms:W3CDTF">2025-08-28T08:06:00Z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2020-02-10T00:00:00Z</vt:filetime>
  </property>
  <property fmtid="{D5CDD505-2E9C-101B-9397-08002B2CF9AE}" pid="3" name="Creator">
    <vt:lpwstr>Microsoft® Office Word 2007</vt:lpwstr>
  </property>
  <property fmtid="{D5CDD505-2E9C-101B-9397-08002B2CF9AE}" pid="4" name="LastSaved">
    <vt:filetime>2020-02-29T00:00:00Z</vt:filetime>
  </property>
  <property fmtid="{D5CDD505-2E9C-101B-9397-08002B2CF9AE}" pid="5" name="KSOProductBuildVer">
    <vt:lpwstr>2052-11.1.0.9513</vt:lpwstr>
  </property>
</Properties>
</file>