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C70020E" w14:textId="77777777" w:rsidR="00B247F8" w:rsidRPr="00750C33" w:rsidRDefault="00C062E8">
      <w:pPr>
        <w:autoSpaceDE w:val="0"/>
        <w:autoSpaceDN w:val="0"/>
        <w:spacing w:beforeLines="50" w:before="156" w:afterLines="50" w:after="156" w:line="360" w:lineRule="auto"/>
        <w:jc w:val="center"/>
        <w:textAlignment w:val="baseline"/>
        <w:rPr>
          <w:rFonts w:ascii="宋体" w:hAnsi="宋体" w:hint="eastAsia"/>
          <w:b/>
          <w:sz w:val="30"/>
          <w:szCs w:val="30"/>
        </w:rPr>
      </w:pPr>
      <w:r w:rsidRPr="00750C33">
        <w:rPr>
          <w:rFonts w:ascii="宋体" w:hAnsi="宋体" w:hint="eastAsia"/>
          <w:b/>
          <w:sz w:val="30"/>
          <w:szCs w:val="30"/>
        </w:rPr>
        <w:t>江苏中利</w:t>
      </w:r>
      <w:r w:rsidR="00B247F8" w:rsidRPr="00750C33">
        <w:rPr>
          <w:rFonts w:ascii="宋体" w:hAnsi="宋体" w:hint="eastAsia"/>
          <w:b/>
          <w:sz w:val="30"/>
          <w:szCs w:val="30"/>
        </w:rPr>
        <w:t>集团股份有限公司</w:t>
      </w:r>
    </w:p>
    <w:p w14:paraId="5507BBE6" w14:textId="2CCA0099" w:rsidR="00160B37" w:rsidRPr="00750C33" w:rsidRDefault="00395F2D" w:rsidP="00160B37">
      <w:pPr>
        <w:autoSpaceDE w:val="0"/>
        <w:autoSpaceDN w:val="0"/>
        <w:spacing w:beforeLines="50" w:before="156" w:afterLines="50" w:after="156" w:line="360" w:lineRule="auto"/>
        <w:jc w:val="center"/>
        <w:textAlignment w:val="baseline"/>
        <w:rPr>
          <w:rFonts w:ascii="宋体" w:hAnsi="宋体" w:hint="eastAsia"/>
          <w:b/>
          <w:sz w:val="30"/>
          <w:szCs w:val="30"/>
        </w:rPr>
      </w:pPr>
      <w:r>
        <w:rPr>
          <w:rFonts w:ascii="宋体" w:hAnsi="宋体" w:hint="eastAsia"/>
          <w:b/>
          <w:sz w:val="30"/>
          <w:szCs w:val="30"/>
        </w:rPr>
        <w:t>2024</w:t>
      </w:r>
      <w:r w:rsidR="00B247F8" w:rsidRPr="00750C33">
        <w:rPr>
          <w:rFonts w:ascii="宋体" w:hAnsi="宋体" w:hint="eastAsia"/>
          <w:b/>
          <w:sz w:val="30"/>
          <w:szCs w:val="30"/>
        </w:rPr>
        <w:t>年度内部控制自我评价报告</w:t>
      </w:r>
    </w:p>
    <w:p w14:paraId="07ADE157" w14:textId="77777777" w:rsidR="00160B37" w:rsidRPr="00750C33" w:rsidRDefault="00160B37">
      <w:pPr>
        <w:autoSpaceDE w:val="0"/>
        <w:autoSpaceDN w:val="0"/>
        <w:spacing w:line="360" w:lineRule="auto"/>
        <w:textAlignment w:val="baseline"/>
        <w:rPr>
          <w:rFonts w:ascii="宋体" w:hAnsi="宋体" w:hint="eastAsia"/>
          <w:sz w:val="24"/>
          <w:szCs w:val="24"/>
        </w:rPr>
      </w:pPr>
    </w:p>
    <w:p w14:paraId="7CD01C6D" w14:textId="7602577C" w:rsidR="00B247F8" w:rsidRPr="00750C33" w:rsidRDefault="00C062E8">
      <w:pPr>
        <w:autoSpaceDE w:val="0"/>
        <w:autoSpaceDN w:val="0"/>
        <w:spacing w:line="360" w:lineRule="auto"/>
        <w:textAlignment w:val="baseline"/>
        <w:rPr>
          <w:rFonts w:ascii="宋体" w:hAnsi="宋体" w:hint="eastAsia"/>
          <w:b/>
          <w:sz w:val="24"/>
          <w:szCs w:val="24"/>
        </w:rPr>
      </w:pPr>
      <w:r w:rsidRPr="00750C33">
        <w:rPr>
          <w:rFonts w:ascii="宋体" w:hAnsi="宋体" w:hint="eastAsia"/>
          <w:sz w:val="24"/>
          <w:szCs w:val="24"/>
        </w:rPr>
        <w:t>江苏中利</w:t>
      </w:r>
      <w:r w:rsidR="00B247F8" w:rsidRPr="00750C33">
        <w:rPr>
          <w:rFonts w:ascii="宋体" w:hAnsi="宋体" w:hint="eastAsia"/>
          <w:sz w:val="24"/>
          <w:szCs w:val="24"/>
        </w:rPr>
        <w:t>集团股份有限公司全体股东：</w:t>
      </w:r>
    </w:p>
    <w:p w14:paraId="56DF8BEA" w14:textId="11073104" w:rsidR="00E34545" w:rsidRPr="00750C33" w:rsidRDefault="00B247F8" w:rsidP="00E34545">
      <w:pPr>
        <w:autoSpaceDE w:val="0"/>
        <w:autoSpaceDN w:val="0"/>
        <w:spacing w:line="360" w:lineRule="auto"/>
        <w:ind w:firstLine="480"/>
        <w:textAlignment w:val="baseline"/>
        <w:rPr>
          <w:rFonts w:ascii="宋体" w:hAnsi="宋体" w:hint="eastAsia"/>
          <w:sz w:val="24"/>
          <w:szCs w:val="24"/>
        </w:rPr>
      </w:pPr>
      <w:r w:rsidRPr="00750C33">
        <w:rPr>
          <w:rFonts w:ascii="宋体" w:hAnsi="宋体" w:hint="eastAsia"/>
          <w:sz w:val="24"/>
          <w:szCs w:val="24"/>
        </w:rPr>
        <w:t>根据《企业内部控制基本规范》及其配套指引的规定和其他内部控制监管要求（以下简称</w:t>
      </w:r>
      <w:r w:rsidR="00ED70C4" w:rsidRPr="00750C33">
        <w:rPr>
          <w:rFonts w:ascii="宋体" w:hAnsi="宋体" w:hint="eastAsia"/>
          <w:sz w:val="24"/>
          <w:szCs w:val="24"/>
        </w:rPr>
        <w:t>“</w:t>
      </w:r>
      <w:r w:rsidRPr="00750C33">
        <w:rPr>
          <w:rFonts w:ascii="宋体" w:hAnsi="宋体" w:hint="eastAsia"/>
          <w:sz w:val="24"/>
          <w:szCs w:val="24"/>
        </w:rPr>
        <w:t>企业内部控制规范体系</w:t>
      </w:r>
      <w:r w:rsidR="00ED70C4" w:rsidRPr="00750C33">
        <w:rPr>
          <w:rFonts w:ascii="宋体" w:hAnsi="宋体" w:hint="eastAsia"/>
          <w:sz w:val="24"/>
          <w:szCs w:val="24"/>
        </w:rPr>
        <w:t>”</w:t>
      </w:r>
      <w:r w:rsidRPr="00750C33">
        <w:rPr>
          <w:rFonts w:ascii="宋体" w:hAnsi="宋体" w:hint="eastAsia"/>
          <w:sz w:val="24"/>
          <w:szCs w:val="24"/>
        </w:rPr>
        <w:t>），结合</w:t>
      </w:r>
      <w:r w:rsidR="00C062E8" w:rsidRPr="00750C33">
        <w:rPr>
          <w:rFonts w:ascii="宋体" w:hAnsi="宋体" w:hint="eastAsia"/>
          <w:sz w:val="24"/>
          <w:szCs w:val="24"/>
        </w:rPr>
        <w:t>江苏中利</w:t>
      </w:r>
      <w:r w:rsidRPr="00750C33">
        <w:rPr>
          <w:rFonts w:ascii="宋体" w:hAnsi="宋体" w:hint="eastAsia"/>
          <w:sz w:val="24"/>
          <w:szCs w:val="24"/>
        </w:rPr>
        <w:t>集团股份有限公司（以下简称“公司”）内部控制制度和评价办法，在内部控制日常监督和专项监督的基础上，我们对公司</w:t>
      </w:r>
      <w:r w:rsidR="00395F2D">
        <w:rPr>
          <w:rFonts w:ascii="宋体" w:hAnsi="宋体" w:hint="eastAsia"/>
          <w:sz w:val="24"/>
          <w:szCs w:val="24"/>
        </w:rPr>
        <w:t>2024</w:t>
      </w:r>
      <w:r w:rsidRPr="00750C33">
        <w:rPr>
          <w:rFonts w:ascii="宋体" w:hAnsi="宋体" w:hint="eastAsia"/>
          <w:sz w:val="24"/>
          <w:szCs w:val="24"/>
        </w:rPr>
        <w:t>年12月31日（内部控制评价报告基准日）的内部控制有效性进行了评价。</w:t>
      </w:r>
    </w:p>
    <w:p w14:paraId="590775D6" w14:textId="77777777" w:rsidR="00B247F8" w:rsidRPr="00750C33" w:rsidRDefault="00B247F8" w:rsidP="00160B37">
      <w:pPr>
        <w:autoSpaceDE w:val="0"/>
        <w:autoSpaceDN w:val="0"/>
        <w:spacing w:beforeLines="50" w:before="156" w:afterLines="50" w:after="156" w:line="360" w:lineRule="auto"/>
        <w:ind w:firstLineChars="196" w:firstLine="472"/>
        <w:textAlignment w:val="baseline"/>
        <w:outlineLvl w:val="1"/>
        <w:rPr>
          <w:rFonts w:ascii="宋体" w:hAnsi="宋体" w:hint="eastAsia"/>
          <w:b/>
          <w:sz w:val="24"/>
          <w:szCs w:val="24"/>
        </w:rPr>
      </w:pPr>
      <w:r w:rsidRPr="00750C33">
        <w:rPr>
          <w:rFonts w:ascii="宋体" w:hAnsi="宋体" w:hint="eastAsia"/>
          <w:b/>
          <w:sz w:val="24"/>
          <w:szCs w:val="24"/>
        </w:rPr>
        <w:t xml:space="preserve">一、重要声明 </w:t>
      </w:r>
    </w:p>
    <w:p w14:paraId="0E4066D1" w14:textId="77777777" w:rsidR="00B247F8" w:rsidRPr="00750C33" w:rsidRDefault="00B247F8">
      <w:pPr>
        <w:autoSpaceDE w:val="0"/>
        <w:autoSpaceDN w:val="0"/>
        <w:spacing w:line="360" w:lineRule="auto"/>
        <w:textAlignment w:val="baseline"/>
        <w:rPr>
          <w:rFonts w:ascii="宋体" w:hAnsi="宋体" w:hint="eastAsia"/>
          <w:sz w:val="24"/>
          <w:szCs w:val="24"/>
        </w:rPr>
      </w:pPr>
      <w:r w:rsidRPr="00750C33">
        <w:rPr>
          <w:rFonts w:ascii="宋体" w:hAnsi="宋体" w:hint="eastAsia"/>
          <w:sz w:val="24"/>
          <w:szCs w:val="24"/>
        </w:rPr>
        <w:t xml:space="preserve">    按照企业内部控制规范体系的规定，建立健全和有效实施内部控制，评价其有效性，并如实披露内部控制评价报告是公司董事会的责任。监事会对董事会建立和实施</w:t>
      </w:r>
      <w:r w:rsidRPr="00D62B0A">
        <w:rPr>
          <w:rFonts w:ascii="宋体" w:hAnsi="宋体" w:hint="eastAsia"/>
          <w:sz w:val="24"/>
          <w:szCs w:val="24"/>
        </w:rPr>
        <w:t>内部控制进行监督。经理层负责组织领导企业内部控制的日常运行。公司董事会、监事会及董事、监事、高级</w:t>
      </w:r>
      <w:r w:rsidRPr="00750C33">
        <w:rPr>
          <w:rFonts w:ascii="宋体" w:hAnsi="宋体" w:hint="eastAsia"/>
          <w:sz w:val="24"/>
          <w:szCs w:val="24"/>
        </w:rPr>
        <w:t>管理人员保证本报告内容不存在任何虚假记载、误导性陈述或重大遗漏，并对报告内容的真实性、准确性和完整性承担个别及连带法律责任。</w:t>
      </w:r>
    </w:p>
    <w:p w14:paraId="57B50BC2" w14:textId="77777777" w:rsidR="00E34545" w:rsidRPr="00750C33" w:rsidRDefault="00B247F8">
      <w:pPr>
        <w:autoSpaceDE w:val="0"/>
        <w:autoSpaceDN w:val="0"/>
        <w:spacing w:line="360" w:lineRule="auto"/>
        <w:textAlignment w:val="baseline"/>
        <w:rPr>
          <w:rFonts w:ascii="宋体" w:hAnsi="宋体" w:hint="eastAsia"/>
          <w:sz w:val="24"/>
          <w:szCs w:val="24"/>
        </w:rPr>
      </w:pPr>
      <w:r w:rsidRPr="00750C33">
        <w:rPr>
          <w:rFonts w:ascii="宋体" w:hAnsi="宋体" w:hint="eastAsia"/>
          <w:sz w:val="24"/>
          <w:szCs w:val="24"/>
        </w:rPr>
        <w:t xml:space="preserve">    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5790F548" w14:textId="77777777" w:rsidR="00B247F8" w:rsidRPr="00750C33" w:rsidRDefault="00B247F8" w:rsidP="00160B37">
      <w:pPr>
        <w:autoSpaceDE w:val="0"/>
        <w:autoSpaceDN w:val="0"/>
        <w:spacing w:beforeLines="50" w:before="156" w:afterLines="50" w:after="156" w:line="360" w:lineRule="auto"/>
        <w:ind w:firstLineChars="196" w:firstLine="472"/>
        <w:textAlignment w:val="baseline"/>
        <w:outlineLvl w:val="1"/>
        <w:rPr>
          <w:rFonts w:ascii="宋体" w:hAnsi="宋体" w:hint="eastAsia"/>
          <w:b/>
          <w:sz w:val="24"/>
          <w:szCs w:val="24"/>
        </w:rPr>
      </w:pPr>
      <w:r w:rsidRPr="00750C33">
        <w:rPr>
          <w:rFonts w:ascii="宋体" w:hAnsi="宋体" w:hint="eastAsia"/>
          <w:b/>
          <w:sz w:val="24"/>
          <w:szCs w:val="24"/>
        </w:rPr>
        <w:t>二、内部控制评价结论</w:t>
      </w:r>
    </w:p>
    <w:p w14:paraId="315DB91A" w14:textId="711828E8" w:rsidR="00B1263B" w:rsidRPr="00E44934" w:rsidRDefault="00B1263B" w:rsidP="00B1263B">
      <w:pPr>
        <w:autoSpaceDE w:val="0"/>
        <w:autoSpaceDN w:val="0"/>
        <w:spacing w:line="360" w:lineRule="auto"/>
        <w:ind w:firstLineChars="200" w:firstLine="480"/>
        <w:textAlignment w:val="baseline"/>
        <w:rPr>
          <w:rFonts w:ascii="宋体" w:hAnsi="宋体" w:hint="eastAsia"/>
          <w:sz w:val="24"/>
          <w:szCs w:val="24"/>
        </w:rPr>
      </w:pPr>
      <w:r w:rsidRPr="00E44934">
        <w:rPr>
          <w:rFonts w:ascii="宋体" w:hAnsi="宋体" w:hint="eastAsia"/>
          <w:sz w:val="24"/>
          <w:szCs w:val="24"/>
        </w:rPr>
        <w:t>根据公司财务报告内部控制重大缺陷的认定情况，于内部控制评价报告基准日，</w:t>
      </w:r>
      <w:r w:rsidR="002D41B7" w:rsidRPr="002D41B7">
        <w:rPr>
          <w:rFonts w:ascii="宋体" w:hAnsi="宋体" w:hint="eastAsia"/>
          <w:sz w:val="24"/>
          <w:szCs w:val="24"/>
        </w:rPr>
        <w:t>不存在财务报告内部控制重大缺陷，公司董事会认为，公司已按照企业内部控制规范体系和相关规定的要求在所有重大方面保持了有效的财务报告内部控制。</w:t>
      </w:r>
    </w:p>
    <w:p w14:paraId="691F615E" w14:textId="77777777" w:rsidR="00B1263B" w:rsidRPr="00E44934" w:rsidRDefault="00B1263B" w:rsidP="00B1263B">
      <w:pPr>
        <w:autoSpaceDE w:val="0"/>
        <w:autoSpaceDN w:val="0"/>
        <w:spacing w:line="360" w:lineRule="auto"/>
        <w:ind w:firstLineChars="200" w:firstLine="480"/>
        <w:textAlignment w:val="baseline"/>
        <w:rPr>
          <w:rFonts w:ascii="宋体" w:hAnsi="宋体" w:hint="eastAsia"/>
          <w:sz w:val="24"/>
          <w:szCs w:val="24"/>
        </w:rPr>
      </w:pPr>
      <w:r w:rsidRPr="00E44934">
        <w:rPr>
          <w:rFonts w:ascii="宋体" w:hAnsi="宋体" w:hint="eastAsia"/>
          <w:sz w:val="24"/>
          <w:szCs w:val="24"/>
        </w:rPr>
        <w:lastRenderedPageBreak/>
        <w:t>根据公司非财务报告内部控制重大缺陷认定情况，于内部控制评价报告基准日，公司未发现非财务报告内部控制缺陷。</w:t>
      </w:r>
    </w:p>
    <w:p w14:paraId="0887A6A6" w14:textId="28CB86D8" w:rsidR="00B247F8" w:rsidRPr="00750C33" w:rsidRDefault="00B247F8" w:rsidP="00160B37">
      <w:pPr>
        <w:autoSpaceDE w:val="0"/>
        <w:autoSpaceDN w:val="0"/>
        <w:spacing w:beforeLines="50" w:before="156" w:afterLines="50" w:after="156" w:line="360" w:lineRule="auto"/>
        <w:ind w:firstLineChars="196" w:firstLine="472"/>
        <w:textAlignment w:val="baseline"/>
        <w:outlineLvl w:val="1"/>
        <w:rPr>
          <w:rFonts w:ascii="宋体" w:hAnsi="宋体" w:hint="eastAsia"/>
          <w:b/>
          <w:sz w:val="24"/>
          <w:szCs w:val="24"/>
        </w:rPr>
      </w:pPr>
      <w:r w:rsidRPr="00750C33">
        <w:rPr>
          <w:rFonts w:ascii="宋体" w:hAnsi="宋体" w:hint="eastAsia"/>
          <w:b/>
          <w:sz w:val="24"/>
          <w:szCs w:val="24"/>
        </w:rPr>
        <w:t>三、</w:t>
      </w:r>
      <w:r w:rsidR="00395F2D">
        <w:rPr>
          <w:rFonts w:ascii="宋体" w:hAnsi="宋体" w:hint="eastAsia"/>
          <w:b/>
          <w:sz w:val="24"/>
          <w:szCs w:val="24"/>
        </w:rPr>
        <w:t>2024</w:t>
      </w:r>
      <w:r w:rsidRPr="00750C33">
        <w:rPr>
          <w:rFonts w:ascii="宋体" w:hAnsi="宋体" w:hint="eastAsia"/>
          <w:b/>
          <w:sz w:val="24"/>
          <w:szCs w:val="24"/>
        </w:rPr>
        <w:t>年度内部控制评价工作情况</w:t>
      </w:r>
    </w:p>
    <w:p w14:paraId="5710E154" w14:textId="77777777" w:rsidR="00B247F8" w:rsidRPr="00750C33" w:rsidRDefault="00B247F8" w:rsidP="00B83BAD">
      <w:pPr>
        <w:autoSpaceDE w:val="0"/>
        <w:autoSpaceDN w:val="0"/>
        <w:spacing w:line="360" w:lineRule="auto"/>
        <w:ind w:firstLineChars="196" w:firstLine="472"/>
        <w:textAlignment w:val="baseline"/>
        <w:rPr>
          <w:rFonts w:ascii="宋体" w:hAnsi="宋体" w:hint="eastAsia"/>
          <w:sz w:val="24"/>
          <w:szCs w:val="24"/>
        </w:rPr>
      </w:pPr>
      <w:r w:rsidRPr="00750C33">
        <w:rPr>
          <w:rFonts w:ascii="宋体" w:hAnsi="宋体" w:hint="eastAsia"/>
          <w:b/>
          <w:sz w:val="24"/>
          <w:szCs w:val="24"/>
        </w:rPr>
        <w:t>（一）内部控制评价范围</w:t>
      </w:r>
    </w:p>
    <w:p w14:paraId="6843E766" w14:textId="67DA6004" w:rsidR="004E7520" w:rsidRPr="00750C33" w:rsidRDefault="00806D74" w:rsidP="00806D74">
      <w:pPr>
        <w:autoSpaceDE w:val="0"/>
        <w:autoSpaceDN w:val="0"/>
        <w:spacing w:line="360" w:lineRule="auto"/>
        <w:textAlignment w:val="baseline"/>
        <w:rPr>
          <w:rFonts w:ascii="宋体" w:hAnsi="宋体" w:hint="eastAsia"/>
          <w:sz w:val="24"/>
          <w:szCs w:val="24"/>
        </w:rPr>
      </w:pPr>
      <w:r w:rsidRPr="00750C33">
        <w:rPr>
          <w:rFonts w:ascii="宋体" w:hAnsi="宋体" w:hint="eastAsia"/>
          <w:sz w:val="24"/>
          <w:szCs w:val="24"/>
        </w:rPr>
        <w:t xml:space="preserve">    </w:t>
      </w:r>
      <w:r w:rsidR="00B247F8" w:rsidRPr="00750C33">
        <w:rPr>
          <w:rFonts w:ascii="宋体" w:hAnsi="宋体" w:hint="eastAsia"/>
          <w:sz w:val="24"/>
          <w:szCs w:val="24"/>
        </w:rPr>
        <w:t>公司按照风险导向原则确定纳入评价范围的主要单位、业务和事项以及高风险领域。纳入评价范围的主要单位包括公司及其</w:t>
      </w:r>
      <w:r w:rsidR="005E2ED1" w:rsidRPr="00750C33">
        <w:rPr>
          <w:rFonts w:ascii="宋体" w:hAnsi="宋体" w:hint="eastAsia"/>
          <w:sz w:val="24"/>
          <w:szCs w:val="24"/>
        </w:rPr>
        <w:t>全部</w:t>
      </w:r>
      <w:r w:rsidR="00B247F8" w:rsidRPr="00750C33">
        <w:rPr>
          <w:rFonts w:ascii="宋体" w:hAnsi="宋体" w:hint="eastAsia"/>
          <w:sz w:val="24"/>
          <w:szCs w:val="24"/>
        </w:rPr>
        <w:t>控股子公司，纳入评价范围单位资产总额占公司合并财务报表资产总额的100%，营业收入合计占公司合并财务报表营业收入总额的100%</w:t>
      </w:r>
      <w:r w:rsidR="005D277B" w:rsidRPr="00750C33">
        <w:rPr>
          <w:rFonts w:ascii="宋体" w:hAnsi="宋体" w:hint="eastAsia"/>
          <w:sz w:val="24"/>
          <w:szCs w:val="24"/>
        </w:rPr>
        <w:t>。</w:t>
      </w:r>
    </w:p>
    <w:p w14:paraId="6F57FF8F" w14:textId="2893154D" w:rsidR="00B247F8" w:rsidRPr="00750C33" w:rsidRDefault="00806D74" w:rsidP="00806D74">
      <w:pPr>
        <w:autoSpaceDE w:val="0"/>
        <w:autoSpaceDN w:val="0"/>
        <w:spacing w:line="360" w:lineRule="auto"/>
        <w:textAlignment w:val="baseline"/>
        <w:rPr>
          <w:rFonts w:ascii="宋体" w:hAnsi="宋体" w:hint="eastAsia"/>
          <w:sz w:val="24"/>
          <w:szCs w:val="24"/>
        </w:rPr>
      </w:pPr>
      <w:r w:rsidRPr="00750C33">
        <w:rPr>
          <w:rFonts w:ascii="宋体" w:hAnsi="宋体" w:hint="eastAsia"/>
          <w:sz w:val="24"/>
          <w:szCs w:val="24"/>
        </w:rPr>
        <w:t xml:space="preserve">    </w:t>
      </w:r>
      <w:r w:rsidR="00B247F8" w:rsidRPr="00750C33">
        <w:rPr>
          <w:rFonts w:ascii="宋体" w:hAnsi="宋体" w:hint="eastAsia"/>
          <w:sz w:val="24"/>
          <w:szCs w:val="24"/>
        </w:rPr>
        <w:t>纳入评价范围的主要业务和事项包括</w:t>
      </w:r>
      <w:r w:rsidR="00B247F8" w:rsidRPr="00750C33">
        <w:rPr>
          <w:rFonts w:ascii="宋体" w:hAnsi="宋体"/>
          <w:sz w:val="24"/>
          <w:szCs w:val="24"/>
        </w:rPr>
        <w:t xml:space="preserve">: </w:t>
      </w:r>
    </w:p>
    <w:p w14:paraId="1DF4034B" w14:textId="2A9FE65F" w:rsidR="00B247F8" w:rsidRPr="00FF4636" w:rsidRDefault="00FF4636" w:rsidP="00FF4636">
      <w:pPr>
        <w:pStyle w:val="af0"/>
        <w:numPr>
          <w:ilvl w:val="0"/>
          <w:numId w:val="5"/>
        </w:numPr>
        <w:autoSpaceDE w:val="0"/>
        <w:autoSpaceDN w:val="0"/>
        <w:spacing w:line="360" w:lineRule="auto"/>
        <w:ind w:firstLineChars="0"/>
        <w:textAlignment w:val="baseline"/>
        <w:rPr>
          <w:rFonts w:ascii="宋体" w:hAnsi="宋体" w:hint="eastAsia"/>
          <w:sz w:val="24"/>
          <w:szCs w:val="24"/>
        </w:rPr>
      </w:pPr>
      <w:r w:rsidRPr="00FF4636">
        <w:rPr>
          <w:rFonts w:ascii="宋体" w:hAnsi="宋体" w:hint="eastAsia"/>
          <w:sz w:val="24"/>
          <w:szCs w:val="24"/>
        </w:rPr>
        <w:t>组织结构</w:t>
      </w:r>
    </w:p>
    <w:p w14:paraId="352F0EEA" w14:textId="11B16374" w:rsidR="00864D64" w:rsidRDefault="00064AE1" w:rsidP="00233C0A">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hint="eastAsia"/>
          <w:sz w:val="24"/>
          <w:szCs w:val="24"/>
        </w:rPr>
        <w:t>公司根据</w:t>
      </w:r>
      <w:r w:rsidR="003A596F">
        <w:rPr>
          <w:rFonts w:ascii="宋体" w:hAnsi="宋体" w:hint="eastAsia"/>
          <w:sz w:val="24"/>
          <w:szCs w:val="24"/>
        </w:rPr>
        <w:t>《公司法》</w:t>
      </w:r>
      <w:r w:rsidR="00233C0A" w:rsidRPr="00750C33">
        <w:rPr>
          <w:rFonts w:ascii="宋体" w:hAnsi="宋体" w:hint="eastAsia"/>
          <w:sz w:val="24"/>
          <w:szCs w:val="24"/>
        </w:rPr>
        <w:t>《证券法》和中国证监会有关法律法规的要求，</w:t>
      </w:r>
      <w:r w:rsidR="00864D64" w:rsidRPr="00750C33">
        <w:rPr>
          <w:rFonts w:ascii="宋体" w:hAnsi="宋体"/>
          <w:sz w:val="24"/>
          <w:szCs w:val="24"/>
        </w:rPr>
        <w:t>设立了股东大会、董事会</w:t>
      </w:r>
      <w:r w:rsidR="00FF4636">
        <w:rPr>
          <w:rFonts w:ascii="宋体" w:hAnsi="宋体" w:hint="eastAsia"/>
          <w:sz w:val="24"/>
          <w:szCs w:val="24"/>
        </w:rPr>
        <w:t>和</w:t>
      </w:r>
      <w:r w:rsidR="00864D64" w:rsidRPr="00750C33">
        <w:rPr>
          <w:rFonts w:ascii="宋体" w:hAnsi="宋体"/>
          <w:sz w:val="24"/>
          <w:szCs w:val="24"/>
        </w:rPr>
        <w:t>监事会</w:t>
      </w:r>
      <w:r w:rsidR="00FF4636">
        <w:rPr>
          <w:rFonts w:ascii="宋体" w:hAnsi="宋体" w:hint="eastAsia"/>
          <w:sz w:val="24"/>
          <w:szCs w:val="24"/>
        </w:rPr>
        <w:t>，分别作为公司的权力机构</w:t>
      </w:r>
      <w:r w:rsidR="0060683F">
        <w:rPr>
          <w:rFonts w:ascii="宋体" w:hAnsi="宋体" w:hint="eastAsia"/>
          <w:sz w:val="24"/>
          <w:szCs w:val="24"/>
        </w:rPr>
        <w:t>、</w:t>
      </w:r>
      <w:r w:rsidR="00FF4636">
        <w:rPr>
          <w:rFonts w:ascii="宋体" w:hAnsi="宋体" w:hint="eastAsia"/>
          <w:sz w:val="24"/>
          <w:szCs w:val="24"/>
        </w:rPr>
        <w:t>决策机构和监督机构，建立了规范法人治理结构和议事规则，明确决策、执行、监督等方面的职责权限，形成科学有效的职责分工和制衡机制。</w:t>
      </w:r>
    </w:p>
    <w:p w14:paraId="62C25D5A" w14:textId="30A7FBFA" w:rsidR="00FF4636" w:rsidRPr="00D62B0A" w:rsidRDefault="00CE28DC" w:rsidP="00CE28DC">
      <w:pPr>
        <w:autoSpaceDE w:val="0"/>
        <w:autoSpaceDN w:val="0"/>
        <w:spacing w:line="360" w:lineRule="auto"/>
        <w:ind w:firstLineChars="200" w:firstLine="480"/>
        <w:textAlignment w:val="baseline"/>
        <w:rPr>
          <w:rFonts w:ascii="宋体" w:hAnsi="宋体" w:hint="eastAsia"/>
          <w:sz w:val="24"/>
          <w:szCs w:val="24"/>
        </w:rPr>
      </w:pPr>
      <w:r w:rsidRPr="00CE28DC">
        <w:rPr>
          <w:rFonts w:ascii="宋体" w:hAnsi="宋体" w:hint="eastAsia"/>
          <w:sz w:val="24"/>
          <w:szCs w:val="24"/>
        </w:rPr>
        <w:t>股东大会严格遵守《公司法》《上市公司治理准则》《股东大会议事规则》及《公司章程》的规定和要求，规范执行股东大会的召集、召开及表决程序。公司提供网络投票平台，为股东参加会议行使决策权创造便利条件。在涉及关联交易事项表决时，关联股东均回避表决，使所有股东，尤其是中小股东与大股东享有平等地位，确保所有股东能够行使自己的合法权利。同时，公司聘请专业律师见证股东大会并出具法律意见书，确保会议召集、召开以及表决程序符合相关法律规定，维护股东的合法权益</w:t>
      </w:r>
      <w:r w:rsidRPr="00CA0E5A">
        <w:rPr>
          <w:rFonts w:ascii="宋体" w:hAnsi="宋体" w:hint="eastAsia"/>
          <w:sz w:val="24"/>
          <w:szCs w:val="24"/>
        </w:rPr>
        <w:t>。报告期内，公司共召开</w:t>
      </w:r>
      <w:r w:rsidR="007D36DF" w:rsidRPr="00CA0E5A">
        <w:rPr>
          <w:rFonts w:ascii="宋体" w:hAnsi="宋体" w:hint="eastAsia"/>
          <w:sz w:val="24"/>
          <w:szCs w:val="24"/>
        </w:rPr>
        <w:t>1</w:t>
      </w:r>
      <w:r w:rsidRPr="00CA0E5A">
        <w:rPr>
          <w:rFonts w:ascii="宋体" w:hAnsi="宋体" w:hint="eastAsia"/>
          <w:sz w:val="24"/>
          <w:szCs w:val="24"/>
        </w:rPr>
        <w:t>次年度股东大会，</w:t>
      </w:r>
      <w:r w:rsidR="00CA0E5A" w:rsidRPr="00CA0E5A">
        <w:rPr>
          <w:rFonts w:ascii="宋体" w:hAnsi="宋体"/>
          <w:sz w:val="24"/>
          <w:szCs w:val="24"/>
        </w:rPr>
        <w:t>2</w:t>
      </w:r>
      <w:r w:rsidRPr="00CA0E5A">
        <w:rPr>
          <w:rFonts w:ascii="宋体" w:hAnsi="宋体" w:hint="eastAsia"/>
          <w:sz w:val="24"/>
          <w:szCs w:val="24"/>
        </w:rPr>
        <w:t>次临时股东大</w:t>
      </w:r>
      <w:r w:rsidRPr="00D62B0A">
        <w:rPr>
          <w:rFonts w:ascii="宋体" w:hAnsi="宋体" w:hint="eastAsia"/>
          <w:sz w:val="24"/>
          <w:szCs w:val="24"/>
        </w:rPr>
        <w:t>会，审议并通过议案</w:t>
      </w:r>
      <w:r w:rsidR="00CA0E5A" w:rsidRPr="00D62B0A">
        <w:rPr>
          <w:rFonts w:ascii="宋体" w:hAnsi="宋体"/>
          <w:sz w:val="24"/>
          <w:szCs w:val="24"/>
        </w:rPr>
        <w:t>21</w:t>
      </w:r>
      <w:r w:rsidRPr="00D62B0A">
        <w:rPr>
          <w:rFonts w:ascii="宋体" w:hAnsi="宋体" w:hint="eastAsia"/>
          <w:sz w:val="24"/>
          <w:szCs w:val="24"/>
        </w:rPr>
        <w:t>项</w:t>
      </w:r>
      <w:r w:rsidR="00FF4636" w:rsidRPr="00D62B0A">
        <w:rPr>
          <w:rFonts w:ascii="宋体" w:hAnsi="宋体" w:hint="eastAsia"/>
          <w:sz w:val="24"/>
          <w:szCs w:val="24"/>
        </w:rPr>
        <w:t>。</w:t>
      </w:r>
    </w:p>
    <w:p w14:paraId="5CDF624C" w14:textId="672B5788" w:rsidR="00FF4636" w:rsidRDefault="00A576E0" w:rsidP="00E6186F">
      <w:pPr>
        <w:autoSpaceDE w:val="0"/>
        <w:autoSpaceDN w:val="0"/>
        <w:spacing w:line="360" w:lineRule="auto"/>
        <w:ind w:firstLineChars="200" w:firstLine="480"/>
        <w:textAlignment w:val="baseline"/>
        <w:rPr>
          <w:rFonts w:ascii="宋体" w:hAnsi="宋体" w:hint="eastAsia"/>
          <w:sz w:val="24"/>
          <w:szCs w:val="24"/>
        </w:rPr>
      </w:pPr>
      <w:r w:rsidRPr="00D62B0A">
        <w:rPr>
          <w:rFonts w:ascii="宋体" w:hAnsi="宋体" w:hint="eastAsia"/>
          <w:sz w:val="24"/>
          <w:szCs w:val="24"/>
        </w:rPr>
        <w:t>根据《公司章程》《董事会议事规</w:t>
      </w:r>
      <w:r w:rsidRPr="00A576E0">
        <w:rPr>
          <w:rFonts w:ascii="宋体" w:hAnsi="宋体" w:hint="eastAsia"/>
          <w:sz w:val="24"/>
          <w:szCs w:val="24"/>
        </w:rPr>
        <w:t>则》的规定，公司董事会的人数和成员机构均符合法律、法规的要求，共有</w:t>
      </w:r>
      <w:r>
        <w:rPr>
          <w:rFonts w:ascii="宋体" w:hAnsi="宋体" w:hint="eastAsia"/>
          <w:sz w:val="24"/>
          <w:szCs w:val="24"/>
        </w:rPr>
        <w:t>9</w:t>
      </w:r>
      <w:r w:rsidRPr="00A576E0">
        <w:rPr>
          <w:rFonts w:ascii="宋体" w:hAnsi="宋体" w:hint="eastAsia"/>
          <w:sz w:val="24"/>
          <w:szCs w:val="24"/>
        </w:rPr>
        <w:t>名董事组成</w:t>
      </w:r>
      <w:r w:rsidRPr="00955318">
        <w:rPr>
          <w:rFonts w:ascii="宋体" w:hAnsi="宋体" w:hint="eastAsia"/>
          <w:sz w:val="24"/>
          <w:szCs w:val="24"/>
        </w:rPr>
        <w:t>（截至本报告期末，有董事辞职，董事会空缺1人，</w:t>
      </w:r>
      <w:r w:rsidR="004D5E6A">
        <w:rPr>
          <w:rFonts w:ascii="宋体" w:hAnsi="宋体" w:hint="eastAsia"/>
          <w:sz w:val="24"/>
          <w:szCs w:val="24"/>
        </w:rPr>
        <w:t>截至目前，董事会已完成换届），</w:t>
      </w:r>
      <w:r w:rsidRPr="00955318">
        <w:rPr>
          <w:rFonts w:ascii="宋体" w:hAnsi="宋体" w:hint="eastAsia"/>
          <w:sz w:val="24"/>
          <w:szCs w:val="24"/>
        </w:rPr>
        <w:t>其中独立董事3名。公司董事</w:t>
      </w:r>
      <w:r w:rsidRPr="00A576E0">
        <w:rPr>
          <w:rFonts w:ascii="宋体" w:hAnsi="宋体" w:hint="eastAsia"/>
          <w:sz w:val="24"/>
          <w:szCs w:val="24"/>
        </w:rPr>
        <w:t>不存在《公司法》第一百四十六条规定的不得担任公司董事的情形，其任免均严格履行董事会、股东大会审议程序，不存在《公司章程》及法律、法规相抵触的情形。</w:t>
      </w:r>
      <w:r w:rsidR="008A38EE">
        <w:rPr>
          <w:rFonts w:ascii="宋体" w:hAnsi="宋体" w:hint="eastAsia"/>
          <w:sz w:val="24"/>
          <w:szCs w:val="24"/>
        </w:rPr>
        <w:t>报告期内，公司制定了《</w:t>
      </w:r>
      <w:r w:rsidR="008A38EE" w:rsidRPr="008A38EE">
        <w:rPr>
          <w:rFonts w:ascii="宋体" w:hAnsi="宋体" w:hint="eastAsia"/>
          <w:sz w:val="24"/>
          <w:szCs w:val="24"/>
        </w:rPr>
        <w:t>独立董事专门会议工作制度</w:t>
      </w:r>
      <w:r w:rsidR="008A38EE">
        <w:rPr>
          <w:rFonts w:ascii="宋体" w:hAnsi="宋体" w:hint="eastAsia"/>
          <w:sz w:val="24"/>
          <w:szCs w:val="24"/>
        </w:rPr>
        <w:t>》，并完善了《</w:t>
      </w:r>
      <w:r w:rsidR="008A38EE" w:rsidRPr="00A576E0">
        <w:rPr>
          <w:rFonts w:ascii="宋体" w:hAnsi="宋体" w:hint="eastAsia"/>
          <w:sz w:val="24"/>
          <w:szCs w:val="24"/>
        </w:rPr>
        <w:t>董事会战略委员会</w:t>
      </w:r>
      <w:r w:rsidR="008A38EE">
        <w:rPr>
          <w:rFonts w:ascii="宋体" w:hAnsi="宋体" w:hint="eastAsia"/>
          <w:sz w:val="24"/>
          <w:szCs w:val="24"/>
        </w:rPr>
        <w:t>实施细则》《</w:t>
      </w:r>
      <w:r w:rsidR="008A38EE" w:rsidRPr="00A576E0">
        <w:rPr>
          <w:rFonts w:ascii="宋体" w:hAnsi="宋体" w:hint="eastAsia"/>
          <w:sz w:val="24"/>
          <w:szCs w:val="24"/>
        </w:rPr>
        <w:t>董事会审计委员会</w:t>
      </w:r>
      <w:r w:rsidR="008A38EE">
        <w:rPr>
          <w:rFonts w:ascii="宋体" w:hAnsi="宋体" w:hint="eastAsia"/>
          <w:sz w:val="24"/>
          <w:szCs w:val="24"/>
        </w:rPr>
        <w:t>实施细则》《</w:t>
      </w:r>
      <w:r w:rsidR="008A38EE" w:rsidRPr="00A576E0">
        <w:rPr>
          <w:rFonts w:ascii="宋体" w:hAnsi="宋体" w:hint="eastAsia"/>
          <w:sz w:val="24"/>
          <w:szCs w:val="24"/>
        </w:rPr>
        <w:t>董事会薪酬与考核委员</w:t>
      </w:r>
      <w:r w:rsidR="008A38EE" w:rsidRPr="00A576E0">
        <w:rPr>
          <w:rFonts w:ascii="宋体" w:hAnsi="宋体" w:hint="eastAsia"/>
          <w:sz w:val="24"/>
          <w:szCs w:val="24"/>
        </w:rPr>
        <w:lastRenderedPageBreak/>
        <w:t>会</w:t>
      </w:r>
      <w:r w:rsidR="008A38EE">
        <w:rPr>
          <w:rFonts w:ascii="宋体" w:hAnsi="宋体" w:hint="eastAsia"/>
          <w:sz w:val="24"/>
          <w:szCs w:val="24"/>
        </w:rPr>
        <w:t>实施细则》《</w:t>
      </w:r>
      <w:r w:rsidR="008A38EE" w:rsidRPr="00A576E0">
        <w:rPr>
          <w:rFonts w:ascii="宋体" w:hAnsi="宋体" w:hint="eastAsia"/>
          <w:sz w:val="24"/>
          <w:szCs w:val="24"/>
        </w:rPr>
        <w:t>董事会提名委员会</w:t>
      </w:r>
      <w:r w:rsidR="008A38EE">
        <w:rPr>
          <w:rFonts w:ascii="宋体" w:hAnsi="宋体" w:hint="eastAsia"/>
          <w:sz w:val="24"/>
          <w:szCs w:val="24"/>
        </w:rPr>
        <w:t>实施细则》</w:t>
      </w:r>
      <w:r w:rsidR="00741974">
        <w:rPr>
          <w:rFonts w:ascii="宋体" w:hAnsi="宋体" w:hint="eastAsia"/>
          <w:sz w:val="24"/>
          <w:szCs w:val="24"/>
        </w:rPr>
        <w:t>等</w:t>
      </w:r>
      <w:r w:rsidR="008A38EE">
        <w:rPr>
          <w:rFonts w:ascii="宋体" w:hAnsi="宋体" w:hint="eastAsia"/>
          <w:sz w:val="24"/>
          <w:szCs w:val="24"/>
        </w:rPr>
        <w:t>。独立董事</w:t>
      </w:r>
      <w:r w:rsidR="008A38EE" w:rsidRPr="008A38EE">
        <w:rPr>
          <w:rFonts w:ascii="宋体" w:hAnsi="宋体" w:hint="eastAsia"/>
          <w:sz w:val="24"/>
          <w:szCs w:val="24"/>
        </w:rPr>
        <w:t>充分发挥</w:t>
      </w:r>
      <w:r w:rsidR="008A38EE">
        <w:rPr>
          <w:rFonts w:ascii="宋体" w:hAnsi="宋体" w:hint="eastAsia"/>
          <w:sz w:val="24"/>
          <w:szCs w:val="24"/>
        </w:rPr>
        <w:t>自身</w:t>
      </w:r>
      <w:r w:rsidR="008A38EE" w:rsidRPr="008A38EE">
        <w:rPr>
          <w:rFonts w:ascii="宋体" w:hAnsi="宋体" w:hint="eastAsia"/>
          <w:sz w:val="24"/>
          <w:szCs w:val="24"/>
        </w:rPr>
        <w:t>在公司治理中的作用</w:t>
      </w:r>
      <w:r w:rsidR="008A38EE">
        <w:rPr>
          <w:rFonts w:ascii="宋体" w:hAnsi="宋体" w:hint="eastAsia"/>
          <w:sz w:val="24"/>
          <w:szCs w:val="24"/>
        </w:rPr>
        <w:t>，</w:t>
      </w:r>
      <w:r w:rsidR="00175B25">
        <w:rPr>
          <w:rFonts w:ascii="宋体" w:hAnsi="宋体" w:hint="eastAsia"/>
          <w:sz w:val="24"/>
          <w:szCs w:val="24"/>
        </w:rPr>
        <w:t>维护公司整体利益，保护中小股东合法权益；</w:t>
      </w:r>
      <w:r w:rsidRPr="00A576E0">
        <w:rPr>
          <w:rFonts w:ascii="宋体" w:hAnsi="宋体" w:hint="eastAsia"/>
          <w:sz w:val="24"/>
          <w:szCs w:val="24"/>
        </w:rPr>
        <w:t>各委员会依据</w:t>
      </w:r>
      <w:r w:rsidR="008A38EE">
        <w:rPr>
          <w:rFonts w:ascii="宋体" w:hAnsi="宋体" w:hint="eastAsia"/>
          <w:sz w:val="24"/>
          <w:szCs w:val="24"/>
        </w:rPr>
        <w:t>法律法规</w:t>
      </w:r>
      <w:r w:rsidRPr="00A576E0">
        <w:rPr>
          <w:rFonts w:ascii="宋体" w:hAnsi="宋体" w:hint="eastAsia"/>
          <w:sz w:val="24"/>
          <w:szCs w:val="24"/>
        </w:rPr>
        <w:t>履行职权，不受公司其他部门和个人的干预</w:t>
      </w:r>
      <w:r w:rsidR="008A38EE">
        <w:rPr>
          <w:rFonts w:ascii="宋体" w:hAnsi="宋体" w:hint="eastAsia"/>
          <w:sz w:val="24"/>
          <w:szCs w:val="24"/>
        </w:rPr>
        <w:t>，</w:t>
      </w:r>
      <w:r w:rsidR="008A38EE" w:rsidRPr="00A576E0">
        <w:rPr>
          <w:rFonts w:ascii="宋体" w:hAnsi="宋体" w:hint="eastAsia"/>
          <w:sz w:val="24"/>
          <w:szCs w:val="24"/>
        </w:rPr>
        <w:t>为公司董事会的决策提供了科学和专业的意见和参考</w:t>
      </w:r>
      <w:r w:rsidRPr="00A576E0">
        <w:rPr>
          <w:rFonts w:ascii="宋体" w:hAnsi="宋体" w:hint="eastAsia"/>
          <w:sz w:val="24"/>
          <w:szCs w:val="24"/>
        </w:rPr>
        <w:t>。报告期内，公司各位董事均能够以认真负责的态度参加董事会和列席股东大会，认真审议各项议案，为公司经营发展和规范化管理提供建议和意见；能够积极参加有关知识培训，熟悉相关法律、法规和公司制度，了解作为董事的权利、义务和责</w:t>
      </w:r>
      <w:r w:rsidRPr="002E6EEE">
        <w:rPr>
          <w:rFonts w:ascii="宋体" w:hAnsi="宋体" w:hint="eastAsia"/>
          <w:sz w:val="24"/>
          <w:szCs w:val="24"/>
        </w:rPr>
        <w:t>任。</w:t>
      </w:r>
      <w:r w:rsidR="000A7DDC">
        <w:rPr>
          <w:rFonts w:ascii="宋体" w:hAnsi="宋体" w:hint="eastAsia"/>
          <w:sz w:val="24"/>
          <w:szCs w:val="24"/>
        </w:rPr>
        <w:t>报告期内，</w:t>
      </w:r>
      <w:r w:rsidRPr="002E6EEE">
        <w:rPr>
          <w:rFonts w:ascii="宋体" w:hAnsi="宋体" w:hint="eastAsia"/>
          <w:sz w:val="24"/>
          <w:szCs w:val="24"/>
        </w:rPr>
        <w:t>公司共召开董事会会议</w:t>
      </w:r>
      <w:r w:rsidR="002E6EEE" w:rsidRPr="002E6EEE">
        <w:rPr>
          <w:rFonts w:ascii="宋体" w:hAnsi="宋体"/>
          <w:sz w:val="24"/>
          <w:szCs w:val="24"/>
        </w:rPr>
        <w:t>9</w:t>
      </w:r>
      <w:r w:rsidRPr="00D62B0A">
        <w:rPr>
          <w:rFonts w:ascii="宋体" w:hAnsi="宋体" w:hint="eastAsia"/>
          <w:sz w:val="24"/>
          <w:szCs w:val="24"/>
        </w:rPr>
        <w:t>次，审议并通过议案共计</w:t>
      </w:r>
      <w:r w:rsidR="00AD7426">
        <w:rPr>
          <w:rFonts w:ascii="宋体" w:hAnsi="宋体"/>
          <w:sz w:val="24"/>
          <w:szCs w:val="24"/>
        </w:rPr>
        <w:t>34</w:t>
      </w:r>
      <w:r w:rsidRPr="00D62B0A">
        <w:rPr>
          <w:rFonts w:ascii="宋体" w:hAnsi="宋体" w:hint="eastAsia"/>
          <w:sz w:val="24"/>
          <w:szCs w:val="24"/>
        </w:rPr>
        <w:t>项。</w:t>
      </w:r>
    </w:p>
    <w:p w14:paraId="4FC04CF9" w14:textId="10E59B8F" w:rsidR="00434BE4" w:rsidRPr="00D62B0A" w:rsidRDefault="00A576E0" w:rsidP="00A576E0">
      <w:pPr>
        <w:autoSpaceDE w:val="0"/>
        <w:autoSpaceDN w:val="0"/>
        <w:spacing w:line="360" w:lineRule="auto"/>
        <w:ind w:firstLineChars="200" w:firstLine="480"/>
        <w:textAlignment w:val="baseline"/>
        <w:rPr>
          <w:rFonts w:ascii="宋体" w:hAnsi="宋体" w:hint="eastAsia"/>
          <w:sz w:val="24"/>
          <w:szCs w:val="24"/>
        </w:rPr>
      </w:pPr>
      <w:r w:rsidRPr="00A576E0">
        <w:rPr>
          <w:rFonts w:ascii="宋体" w:hAnsi="宋体" w:hint="eastAsia"/>
          <w:sz w:val="24"/>
          <w:szCs w:val="24"/>
        </w:rPr>
        <w:t>根据《公司章程》《监事会议事规则》的规定，公司监事会的人数和成员构成符合法律、法规的要求。分别由3名监事组成，其中职工监事1名，设监事会主席1名。公司监事不存在《公司法》第一百四十六条规定的不得担任公司监事的情形，其任免均严格履行监事会、股东大会批准程序，不存在与《公司章程》及相关法律、法规相抵触的情形。公司监事会能够认真履职，本着为股东负责的态度，依法检查和监督公司财务，对董事、高级管理人员履行职责的合法合规性进</w:t>
      </w:r>
      <w:r w:rsidRPr="009C4D11">
        <w:rPr>
          <w:rFonts w:ascii="宋体" w:hAnsi="宋体" w:hint="eastAsia"/>
          <w:sz w:val="24"/>
          <w:szCs w:val="24"/>
        </w:rPr>
        <w:t>行监督。报告期内，公司共召开监事会会议</w:t>
      </w:r>
      <w:r w:rsidR="009C4D11" w:rsidRPr="009C4D11">
        <w:rPr>
          <w:rFonts w:ascii="宋体" w:hAnsi="宋体"/>
          <w:sz w:val="24"/>
          <w:szCs w:val="24"/>
        </w:rPr>
        <w:t>8</w:t>
      </w:r>
      <w:r w:rsidRPr="00D62B0A">
        <w:rPr>
          <w:rFonts w:ascii="宋体" w:hAnsi="宋体" w:hint="eastAsia"/>
          <w:sz w:val="24"/>
          <w:szCs w:val="24"/>
        </w:rPr>
        <w:t>次，审议并通过议案共计</w:t>
      </w:r>
      <w:r w:rsidR="00D62B0A" w:rsidRPr="00D62B0A">
        <w:rPr>
          <w:rFonts w:ascii="宋体" w:hAnsi="宋体"/>
          <w:sz w:val="24"/>
          <w:szCs w:val="24"/>
        </w:rPr>
        <w:t>23</w:t>
      </w:r>
      <w:r w:rsidRPr="00D62B0A">
        <w:rPr>
          <w:rFonts w:ascii="宋体" w:hAnsi="宋体" w:hint="eastAsia"/>
          <w:sz w:val="24"/>
          <w:szCs w:val="24"/>
        </w:rPr>
        <w:t>项。</w:t>
      </w:r>
    </w:p>
    <w:p w14:paraId="0F08BABC" w14:textId="7263C956" w:rsidR="00F70839" w:rsidRPr="00750C33" w:rsidRDefault="00377CC1" w:rsidP="00F70839">
      <w:pPr>
        <w:autoSpaceDE w:val="0"/>
        <w:autoSpaceDN w:val="0"/>
        <w:spacing w:line="360" w:lineRule="auto"/>
        <w:ind w:firstLineChars="200" w:firstLine="480"/>
        <w:textAlignment w:val="baseline"/>
        <w:rPr>
          <w:rFonts w:ascii="宋体" w:hAnsi="宋体" w:hint="eastAsia"/>
          <w:sz w:val="24"/>
          <w:szCs w:val="24"/>
        </w:rPr>
      </w:pPr>
      <w:r w:rsidRPr="00D62B0A">
        <w:rPr>
          <w:rFonts w:ascii="宋体" w:hAnsi="宋体" w:hint="eastAsia"/>
          <w:sz w:val="24"/>
          <w:szCs w:val="24"/>
        </w:rPr>
        <w:t>2</w:t>
      </w:r>
      <w:r w:rsidR="00C8230A">
        <w:rPr>
          <w:rFonts w:ascii="宋体" w:hAnsi="宋体" w:hint="eastAsia"/>
          <w:sz w:val="24"/>
          <w:szCs w:val="24"/>
        </w:rPr>
        <w:t>．</w:t>
      </w:r>
      <w:r w:rsidR="00F70839" w:rsidRPr="00D62B0A">
        <w:rPr>
          <w:rFonts w:ascii="宋体" w:hAnsi="宋体" w:hint="eastAsia"/>
          <w:sz w:val="24"/>
          <w:szCs w:val="24"/>
        </w:rPr>
        <w:t>人力资源</w:t>
      </w:r>
    </w:p>
    <w:p w14:paraId="5CF08434" w14:textId="30CD3827" w:rsidR="00F70839" w:rsidRPr="00750C33" w:rsidRDefault="00EC7BD6" w:rsidP="00F70839">
      <w:pPr>
        <w:autoSpaceDE w:val="0"/>
        <w:autoSpaceDN w:val="0"/>
        <w:spacing w:line="360" w:lineRule="auto"/>
        <w:ind w:firstLineChars="200" w:firstLine="480"/>
        <w:textAlignment w:val="baseline"/>
        <w:rPr>
          <w:rFonts w:ascii="宋体" w:hAnsi="宋体" w:hint="eastAsia"/>
          <w:sz w:val="24"/>
          <w:szCs w:val="24"/>
        </w:rPr>
      </w:pPr>
      <w:r w:rsidRPr="00EC7BD6">
        <w:rPr>
          <w:rFonts w:ascii="宋体" w:hAnsi="宋体" w:hint="eastAsia"/>
          <w:sz w:val="24"/>
          <w:szCs w:val="24"/>
        </w:rPr>
        <w:t>公司</w:t>
      </w:r>
      <w:r w:rsidR="002C0691">
        <w:rPr>
          <w:rFonts w:ascii="宋体" w:hAnsi="宋体" w:hint="eastAsia"/>
          <w:sz w:val="24"/>
          <w:szCs w:val="24"/>
        </w:rPr>
        <w:t>以人为本，始终秉持人才至上的发展理念。</w:t>
      </w:r>
      <w:r w:rsidR="002C0691" w:rsidRPr="002C0691">
        <w:rPr>
          <w:rFonts w:ascii="宋体" w:hAnsi="宋体" w:hint="eastAsia"/>
          <w:sz w:val="24"/>
          <w:szCs w:val="24"/>
        </w:rPr>
        <w:t>为了给人才的培育与发展创造优越的环境，公司不仅重视内部管理机制的完善，更致力于增强人才团队的凝聚力。</w:t>
      </w:r>
      <w:r w:rsidR="00F76735">
        <w:rPr>
          <w:rFonts w:ascii="宋体" w:hAnsi="宋体" w:hint="eastAsia"/>
          <w:sz w:val="24"/>
          <w:szCs w:val="24"/>
        </w:rPr>
        <w:t>报告期内，</w:t>
      </w:r>
      <w:r w:rsidR="00F70839" w:rsidRPr="00750C33">
        <w:rPr>
          <w:rFonts w:ascii="宋体" w:hAnsi="宋体" w:hint="eastAsia"/>
          <w:sz w:val="24"/>
          <w:szCs w:val="24"/>
        </w:rPr>
        <w:t>公司</w:t>
      </w:r>
      <w:r w:rsidR="00F76735">
        <w:rPr>
          <w:rFonts w:ascii="宋体" w:hAnsi="宋体" w:hint="eastAsia"/>
          <w:sz w:val="24"/>
          <w:szCs w:val="24"/>
        </w:rPr>
        <w:t>完善</w:t>
      </w:r>
      <w:r w:rsidR="00F70839" w:rsidRPr="00750C33">
        <w:rPr>
          <w:rFonts w:ascii="宋体" w:hAnsi="宋体" w:hint="eastAsia"/>
          <w:sz w:val="24"/>
          <w:szCs w:val="24"/>
        </w:rPr>
        <w:t>了</w:t>
      </w:r>
      <w:r w:rsidR="003A596F">
        <w:rPr>
          <w:rFonts w:ascii="宋体" w:hAnsi="宋体" w:hint="eastAsia"/>
          <w:sz w:val="24"/>
          <w:szCs w:val="24"/>
        </w:rPr>
        <w:t>《</w:t>
      </w:r>
      <w:r w:rsidR="00F76735" w:rsidRPr="00F76735">
        <w:rPr>
          <w:rFonts w:ascii="宋体" w:hAnsi="宋体" w:hint="eastAsia"/>
          <w:sz w:val="24"/>
          <w:szCs w:val="24"/>
        </w:rPr>
        <w:t>员工激励制度</w:t>
      </w:r>
      <w:r w:rsidR="003A596F">
        <w:rPr>
          <w:rFonts w:ascii="宋体" w:hAnsi="宋体" w:hint="eastAsia"/>
          <w:sz w:val="24"/>
          <w:szCs w:val="24"/>
        </w:rPr>
        <w:t>》</w:t>
      </w:r>
      <w:r w:rsidR="00043494">
        <w:rPr>
          <w:rFonts w:ascii="宋体" w:hAnsi="宋体" w:hint="eastAsia"/>
          <w:sz w:val="24"/>
          <w:szCs w:val="24"/>
        </w:rPr>
        <w:t>《</w:t>
      </w:r>
      <w:r w:rsidR="00F76735" w:rsidRPr="00F76735">
        <w:rPr>
          <w:rFonts w:ascii="宋体" w:hAnsi="宋体" w:hint="eastAsia"/>
          <w:sz w:val="24"/>
          <w:szCs w:val="24"/>
        </w:rPr>
        <w:t>试用期管理制度</w:t>
      </w:r>
      <w:r w:rsidR="00043494">
        <w:rPr>
          <w:rFonts w:ascii="宋体" w:hAnsi="宋体" w:hint="eastAsia"/>
          <w:sz w:val="24"/>
          <w:szCs w:val="24"/>
        </w:rPr>
        <w:t>》等</w:t>
      </w:r>
      <w:r w:rsidR="00F76735">
        <w:rPr>
          <w:rFonts w:ascii="宋体" w:hAnsi="宋体" w:hint="eastAsia"/>
          <w:sz w:val="24"/>
          <w:szCs w:val="24"/>
        </w:rPr>
        <w:t>制度</w:t>
      </w:r>
      <w:r w:rsidR="00F70839" w:rsidRPr="00750C33">
        <w:rPr>
          <w:rFonts w:ascii="宋体" w:hAnsi="宋体" w:hint="eastAsia"/>
          <w:sz w:val="24"/>
          <w:szCs w:val="24"/>
        </w:rPr>
        <w:t>，</w:t>
      </w:r>
      <w:r w:rsidR="00F76735">
        <w:rPr>
          <w:rFonts w:ascii="宋体" w:hAnsi="宋体" w:hint="eastAsia"/>
          <w:sz w:val="24"/>
          <w:szCs w:val="24"/>
        </w:rPr>
        <w:t>按照国家法律、法规的规定</w:t>
      </w:r>
      <w:r w:rsidR="00F76735" w:rsidRPr="00750C33">
        <w:rPr>
          <w:rFonts w:ascii="宋体" w:hAnsi="宋体" w:hint="eastAsia"/>
          <w:sz w:val="24"/>
          <w:szCs w:val="24"/>
        </w:rPr>
        <w:t>，</w:t>
      </w:r>
      <w:r w:rsidR="00F76735">
        <w:rPr>
          <w:rFonts w:ascii="宋体" w:hAnsi="宋体" w:hint="eastAsia"/>
          <w:sz w:val="24"/>
          <w:szCs w:val="24"/>
        </w:rPr>
        <w:t>依据现有的人力资源管理制度，</w:t>
      </w:r>
      <w:r w:rsidR="00043494" w:rsidRPr="00043494">
        <w:rPr>
          <w:rFonts w:ascii="宋体" w:hAnsi="宋体" w:hint="eastAsia"/>
          <w:sz w:val="24"/>
          <w:szCs w:val="24"/>
        </w:rPr>
        <w:t>规范员工聘任管理、员工培训管理、员工绩效管理、</w:t>
      </w:r>
      <w:r w:rsidR="00170395" w:rsidRPr="00043494">
        <w:rPr>
          <w:rFonts w:ascii="宋体" w:hAnsi="宋体" w:hint="eastAsia"/>
          <w:sz w:val="24"/>
          <w:szCs w:val="24"/>
        </w:rPr>
        <w:t>劳动合同管理、薪酬分配、社会保险管理、</w:t>
      </w:r>
      <w:r w:rsidR="00043494" w:rsidRPr="00043494">
        <w:rPr>
          <w:rFonts w:ascii="宋体" w:hAnsi="宋体" w:hint="eastAsia"/>
          <w:sz w:val="24"/>
          <w:szCs w:val="24"/>
        </w:rPr>
        <w:t>人事档案管理</w:t>
      </w:r>
      <w:r w:rsidR="00170395">
        <w:rPr>
          <w:rFonts w:ascii="宋体" w:hAnsi="宋体" w:hint="eastAsia"/>
          <w:sz w:val="24"/>
          <w:szCs w:val="24"/>
        </w:rPr>
        <w:t>和员工考勤管理等</w:t>
      </w:r>
      <w:r w:rsidR="00F70839" w:rsidRPr="00750C33">
        <w:rPr>
          <w:rFonts w:ascii="宋体" w:hAnsi="宋体" w:hint="eastAsia"/>
          <w:sz w:val="24"/>
          <w:szCs w:val="24"/>
        </w:rPr>
        <w:t>。</w:t>
      </w:r>
      <w:r w:rsidR="005D1095">
        <w:rPr>
          <w:rFonts w:ascii="宋体" w:hAnsi="宋体" w:hint="eastAsia"/>
          <w:sz w:val="24"/>
          <w:szCs w:val="24"/>
        </w:rPr>
        <w:t>公司</w:t>
      </w:r>
      <w:r w:rsidR="005D1095" w:rsidRPr="005D1095">
        <w:rPr>
          <w:rFonts w:ascii="宋体" w:hAnsi="宋体" w:hint="eastAsia"/>
          <w:sz w:val="24"/>
          <w:szCs w:val="24"/>
        </w:rPr>
        <w:t>建立</w:t>
      </w:r>
      <w:r w:rsidR="005D1095">
        <w:rPr>
          <w:rFonts w:ascii="宋体" w:hAnsi="宋体" w:hint="eastAsia"/>
          <w:sz w:val="24"/>
          <w:szCs w:val="24"/>
        </w:rPr>
        <w:t>了</w:t>
      </w:r>
      <w:r w:rsidR="005D1095" w:rsidRPr="005D1095">
        <w:rPr>
          <w:rFonts w:ascii="宋体" w:hAnsi="宋体" w:hint="eastAsia"/>
          <w:sz w:val="24"/>
          <w:szCs w:val="24"/>
        </w:rPr>
        <w:t>科学的激励机制和约束机制，通过人力资源管理充分调动公司员工</w:t>
      </w:r>
      <w:r w:rsidR="005B6A40">
        <w:rPr>
          <w:rFonts w:ascii="宋体" w:hAnsi="宋体" w:hint="eastAsia"/>
          <w:sz w:val="24"/>
          <w:szCs w:val="24"/>
        </w:rPr>
        <w:t>技能</w:t>
      </w:r>
      <w:r w:rsidR="005B6A40">
        <w:rPr>
          <w:rFonts w:ascii="宋体" w:hAnsi="宋体"/>
          <w:sz w:val="24"/>
          <w:szCs w:val="24"/>
        </w:rPr>
        <w:t>提升、学历</w:t>
      </w:r>
      <w:r w:rsidR="005B6A40">
        <w:rPr>
          <w:rFonts w:ascii="宋体" w:hAnsi="宋体" w:hint="eastAsia"/>
          <w:sz w:val="24"/>
          <w:szCs w:val="24"/>
        </w:rPr>
        <w:t>和职</w:t>
      </w:r>
      <w:r w:rsidR="005B6A40">
        <w:rPr>
          <w:rFonts w:ascii="宋体" w:hAnsi="宋体"/>
          <w:sz w:val="24"/>
          <w:szCs w:val="24"/>
        </w:rPr>
        <w:t>称</w:t>
      </w:r>
      <w:r w:rsidR="005B6A40">
        <w:rPr>
          <w:rFonts w:ascii="宋体" w:hAnsi="宋体" w:hint="eastAsia"/>
          <w:sz w:val="24"/>
          <w:szCs w:val="24"/>
        </w:rPr>
        <w:t>晋升</w:t>
      </w:r>
      <w:r w:rsidR="005B6A40">
        <w:rPr>
          <w:rFonts w:ascii="宋体" w:hAnsi="宋体"/>
          <w:sz w:val="24"/>
          <w:szCs w:val="24"/>
        </w:rPr>
        <w:t>、提出合理</w:t>
      </w:r>
      <w:r w:rsidR="005B6A40">
        <w:rPr>
          <w:rFonts w:ascii="宋体" w:hAnsi="宋体" w:hint="eastAsia"/>
          <w:sz w:val="24"/>
          <w:szCs w:val="24"/>
        </w:rPr>
        <w:t>化</w:t>
      </w:r>
      <w:r w:rsidR="005B6A40">
        <w:rPr>
          <w:rFonts w:ascii="宋体" w:hAnsi="宋体"/>
          <w:sz w:val="24"/>
          <w:szCs w:val="24"/>
        </w:rPr>
        <w:t>建</w:t>
      </w:r>
      <w:r w:rsidR="005B6A40">
        <w:rPr>
          <w:rFonts w:ascii="宋体" w:hAnsi="宋体" w:hint="eastAsia"/>
          <w:sz w:val="24"/>
          <w:szCs w:val="24"/>
        </w:rPr>
        <w:t>议</w:t>
      </w:r>
      <w:r w:rsidR="005B6A40">
        <w:rPr>
          <w:rFonts w:ascii="宋体" w:hAnsi="宋体"/>
          <w:sz w:val="24"/>
          <w:szCs w:val="24"/>
        </w:rPr>
        <w:t>等</w:t>
      </w:r>
      <w:r w:rsidR="005D1095" w:rsidRPr="005D1095">
        <w:rPr>
          <w:rFonts w:ascii="宋体" w:hAnsi="宋体" w:hint="eastAsia"/>
          <w:sz w:val="24"/>
          <w:szCs w:val="24"/>
        </w:rPr>
        <w:t>积极性，为公司可持续发展提供人才的必要保障</w:t>
      </w:r>
      <w:r w:rsidR="005D1095">
        <w:rPr>
          <w:rFonts w:ascii="宋体" w:hAnsi="宋体" w:hint="eastAsia"/>
          <w:sz w:val="24"/>
          <w:szCs w:val="24"/>
        </w:rPr>
        <w:t>。</w:t>
      </w:r>
    </w:p>
    <w:p w14:paraId="70F4C177" w14:textId="5912D23D" w:rsidR="00F70839" w:rsidRPr="00750C33" w:rsidRDefault="00F70839" w:rsidP="00F70839">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hint="eastAsia"/>
          <w:sz w:val="24"/>
          <w:szCs w:val="24"/>
        </w:rPr>
        <w:t>3</w:t>
      </w:r>
      <w:r w:rsidR="00C8230A">
        <w:rPr>
          <w:rFonts w:ascii="宋体" w:hAnsi="宋体" w:hint="eastAsia"/>
          <w:sz w:val="24"/>
          <w:szCs w:val="24"/>
        </w:rPr>
        <w:t>．</w:t>
      </w:r>
      <w:r w:rsidRPr="00750C33">
        <w:rPr>
          <w:rFonts w:ascii="宋体" w:hAnsi="宋体" w:hint="eastAsia"/>
          <w:sz w:val="24"/>
          <w:szCs w:val="24"/>
        </w:rPr>
        <w:t>社会责任</w:t>
      </w:r>
    </w:p>
    <w:p w14:paraId="78AEF773" w14:textId="6A7122B7" w:rsidR="00F70839" w:rsidRPr="00750C33" w:rsidRDefault="00E50D53" w:rsidP="00F70839">
      <w:pPr>
        <w:autoSpaceDE w:val="0"/>
        <w:autoSpaceDN w:val="0"/>
        <w:spacing w:line="360" w:lineRule="auto"/>
        <w:ind w:firstLineChars="200" w:firstLine="480"/>
        <w:textAlignment w:val="baseline"/>
        <w:rPr>
          <w:rFonts w:ascii="宋体" w:hAnsi="宋体" w:hint="eastAsia"/>
          <w:sz w:val="24"/>
          <w:szCs w:val="24"/>
        </w:rPr>
      </w:pPr>
      <w:r w:rsidRPr="00E50D53">
        <w:rPr>
          <w:rFonts w:ascii="宋体" w:hAnsi="宋体" w:hint="eastAsia"/>
          <w:sz w:val="24"/>
          <w:szCs w:val="24"/>
        </w:rPr>
        <w:t>公司始终贯彻社会责任与公司的发展战略相结合，将社会责任落实于公司的日常经营管理之中，融于企业文化之中，</w:t>
      </w:r>
      <w:r>
        <w:rPr>
          <w:rFonts w:ascii="宋体" w:hAnsi="宋体" w:hint="eastAsia"/>
          <w:sz w:val="24"/>
          <w:szCs w:val="24"/>
        </w:rPr>
        <w:t>同时</w:t>
      </w:r>
      <w:r w:rsidR="00F70839" w:rsidRPr="00673121">
        <w:rPr>
          <w:rFonts w:ascii="宋体" w:hAnsi="宋体" w:hint="eastAsia"/>
          <w:sz w:val="24"/>
          <w:szCs w:val="24"/>
        </w:rPr>
        <w:t>注重在经济、环境、社会层面的绩效与均衡，持续推动与利益相关方的合作</w:t>
      </w:r>
      <w:r w:rsidR="00A66F19">
        <w:rPr>
          <w:rFonts w:ascii="宋体" w:hAnsi="宋体" w:hint="eastAsia"/>
          <w:sz w:val="24"/>
          <w:szCs w:val="24"/>
        </w:rPr>
        <w:t>共赢。报告期内，公司根据自身实际情况，在股东权益</w:t>
      </w:r>
      <w:r w:rsidR="00F70839" w:rsidRPr="00673121">
        <w:rPr>
          <w:rFonts w:ascii="宋体" w:hAnsi="宋体" w:hint="eastAsia"/>
          <w:sz w:val="24"/>
          <w:szCs w:val="24"/>
        </w:rPr>
        <w:t>、</w:t>
      </w:r>
      <w:r w:rsidR="00A66F19">
        <w:rPr>
          <w:rFonts w:ascii="宋体" w:hAnsi="宋体" w:hint="eastAsia"/>
          <w:sz w:val="24"/>
          <w:szCs w:val="24"/>
        </w:rPr>
        <w:t>员工权益、供应商及客户权益</w:t>
      </w:r>
      <w:r w:rsidR="00F70839" w:rsidRPr="00673121">
        <w:rPr>
          <w:rFonts w:ascii="宋体" w:hAnsi="宋体" w:hint="eastAsia"/>
          <w:sz w:val="24"/>
          <w:szCs w:val="24"/>
        </w:rPr>
        <w:t>、环境保护与可持续发展等方面</w:t>
      </w:r>
      <w:r w:rsidR="00F70839" w:rsidRPr="00673121">
        <w:rPr>
          <w:rFonts w:ascii="宋体" w:hAnsi="宋体" w:hint="eastAsia"/>
          <w:sz w:val="24"/>
          <w:szCs w:val="24"/>
        </w:rPr>
        <w:lastRenderedPageBreak/>
        <w:t>承担了相应的社会责任，促</w:t>
      </w:r>
      <w:r w:rsidR="00832549">
        <w:rPr>
          <w:rFonts w:ascii="宋体" w:hAnsi="宋体" w:hint="eastAsia"/>
          <w:sz w:val="24"/>
          <w:szCs w:val="24"/>
        </w:rPr>
        <w:t>使</w:t>
      </w:r>
      <w:r w:rsidR="00F70839" w:rsidRPr="00673121">
        <w:rPr>
          <w:rFonts w:ascii="宋体" w:hAnsi="宋体" w:hint="eastAsia"/>
          <w:sz w:val="24"/>
          <w:szCs w:val="24"/>
        </w:rPr>
        <w:t>公司与利益相关方</w:t>
      </w:r>
      <w:r>
        <w:rPr>
          <w:rFonts w:ascii="宋体" w:hAnsi="宋体" w:hint="eastAsia"/>
          <w:sz w:val="24"/>
          <w:szCs w:val="24"/>
        </w:rPr>
        <w:t>进一步</w:t>
      </w:r>
      <w:r w:rsidR="00F70839" w:rsidRPr="00673121">
        <w:rPr>
          <w:rFonts w:ascii="宋体" w:hAnsi="宋体" w:hint="eastAsia"/>
          <w:sz w:val="24"/>
          <w:szCs w:val="24"/>
        </w:rPr>
        <w:t>健康、和谐</w:t>
      </w:r>
      <w:r>
        <w:rPr>
          <w:rFonts w:ascii="宋体" w:hAnsi="宋体" w:hint="eastAsia"/>
          <w:sz w:val="24"/>
          <w:szCs w:val="24"/>
        </w:rPr>
        <w:t>地</w:t>
      </w:r>
      <w:r w:rsidR="00F70839" w:rsidRPr="00673121">
        <w:rPr>
          <w:rFonts w:ascii="宋体" w:hAnsi="宋体" w:hint="eastAsia"/>
          <w:sz w:val="24"/>
          <w:szCs w:val="24"/>
        </w:rPr>
        <w:t>发展。</w:t>
      </w:r>
    </w:p>
    <w:p w14:paraId="02A90E4C" w14:textId="500FD170" w:rsidR="00B247F8" w:rsidRPr="00750C33" w:rsidRDefault="0026315E" w:rsidP="00B83BAD">
      <w:pPr>
        <w:autoSpaceDE w:val="0"/>
        <w:autoSpaceDN w:val="0"/>
        <w:spacing w:line="360" w:lineRule="auto"/>
        <w:ind w:firstLineChars="200" w:firstLine="480"/>
        <w:textAlignment w:val="baseline"/>
        <w:rPr>
          <w:rFonts w:ascii="宋体" w:hAnsi="宋体" w:hint="eastAsia"/>
          <w:sz w:val="24"/>
          <w:szCs w:val="24"/>
        </w:rPr>
      </w:pPr>
      <w:r>
        <w:rPr>
          <w:rFonts w:ascii="宋体" w:hAnsi="宋体"/>
          <w:sz w:val="24"/>
          <w:szCs w:val="24"/>
        </w:rPr>
        <w:t>4</w:t>
      </w:r>
      <w:r w:rsidR="00C8230A">
        <w:rPr>
          <w:rFonts w:ascii="宋体" w:hAnsi="宋体" w:hint="eastAsia"/>
          <w:sz w:val="24"/>
          <w:szCs w:val="24"/>
        </w:rPr>
        <w:t>．</w:t>
      </w:r>
      <w:r w:rsidR="00B247F8" w:rsidRPr="00750C33">
        <w:rPr>
          <w:rFonts w:ascii="宋体" w:hAnsi="宋体" w:hint="eastAsia"/>
          <w:sz w:val="24"/>
          <w:szCs w:val="24"/>
        </w:rPr>
        <w:t>企业文化</w:t>
      </w:r>
    </w:p>
    <w:p w14:paraId="2A962824" w14:textId="43C75049" w:rsidR="00B247F8" w:rsidRPr="0006198C" w:rsidRDefault="001D52FD" w:rsidP="00656205">
      <w:pPr>
        <w:autoSpaceDE w:val="0"/>
        <w:autoSpaceDN w:val="0"/>
        <w:spacing w:line="360" w:lineRule="auto"/>
        <w:ind w:firstLineChars="200" w:firstLine="480"/>
        <w:textAlignment w:val="baseline"/>
        <w:rPr>
          <w:rFonts w:ascii="宋体" w:hAnsi="宋体" w:hint="eastAsia"/>
          <w:sz w:val="24"/>
          <w:szCs w:val="24"/>
        </w:rPr>
      </w:pPr>
      <w:r w:rsidRPr="001D52FD">
        <w:rPr>
          <w:rFonts w:ascii="宋体" w:hAnsi="宋体" w:hint="eastAsia"/>
          <w:sz w:val="24"/>
          <w:szCs w:val="24"/>
        </w:rPr>
        <w:t>公司高度重视企业文化建设，</w:t>
      </w:r>
      <w:r w:rsidR="00A41E34">
        <w:rPr>
          <w:rFonts w:ascii="宋体" w:hAnsi="宋体" w:hint="eastAsia"/>
          <w:sz w:val="24"/>
          <w:szCs w:val="24"/>
        </w:rPr>
        <w:t>深耕行业3</w:t>
      </w:r>
      <w:r w:rsidR="00A41E34">
        <w:rPr>
          <w:rFonts w:ascii="宋体" w:hAnsi="宋体"/>
          <w:sz w:val="24"/>
          <w:szCs w:val="24"/>
        </w:rPr>
        <w:t>0</w:t>
      </w:r>
      <w:r w:rsidR="00A41E34">
        <w:rPr>
          <w:rFonts w:ascii="宋体" w:hAnsi="宋体" w:hint="eastAsia"/>
          <w:sz w:val="24"/>
          <w:szCs w:val="24"/>
        </w:rPr>
        <w:t>余年，</w:t>
      </w:r>
      <w:r w:rsidR="00B247F8" w:rsidRPr="00750C33">
        <w:rPr>
          <w:rFonts w:ascii="宋体" w:hAnsi="宋体" w:hint="eastAsia"/>
          <w:sz w:val="24"/>
          <w:szCs w:val="24"/>
        </w:rPr>
        <w:t>公司</w:t>
      </w:r>
      <w:r w:rsidR="00A41E34">
        <w:rPr>
          <w:rFonts w:ascii="宋体" w:hAnsi="宋体" w:hint="eastAsia"/>
          <w:sz w:val="24"/>
          <w:szCs w:val="24"/>
        </w:rPr>
        <w:t>树立了</w:t>
      </w:r>
      <w:r w:rsidR="00B247F8" w:rsidRPr="00750C33">
        <w:rPr>
          <w:rFonts w:ascii="宋体" w:hAnsi="宋体" w:hint="eastAsia"/>
          <w:sz w:val="24"/>
          <w:szCs w:val="24"/>
        </w:rPr>
        <w:t>“诚信、敬业、团结、创新”的企业精神</w:t>
      </w:r>
      <w:r w:rsidR="00D84BCD" w:rsidRPr="00750C33">
        <w:rPr>
          <w:rFonts w:ascii="宋体" w:hAnsi="宋体" w:hint="eastAsia"/>
          <w:sz w:val="24"/>
          <w:szCs w:val="24"/>
        </w:rPr>
        <w:t>，</w:t>
      </w:r>
      <w:r w:rsidR="00A41E34">
        <w:rPr>
          <w:rFonts w:ascii="宋体" w:hAnsi="宋体" w:hint="eastAsia"/>
          <w:sz w:val="24"/>
          <w:szCs w:val="24"/>
        </w:rPr>
        <w:t>形成了</w:t>
      </w:r>
      <w:r w:rsidR="00182B07" w:rsidRPr="00750C33">
        <w:rPr>
          <w:rFonts w:ascii="宋体" w:hAnsi="宋体"/>
          <w:sz w:val="24"/>
          <w:szCs w:val="24"/>
        </w:rPr>
        <w:t>“以人为本”的经营理念</w:t>
      </w:r>
      <w:r w:rsidR="00182B07" w:rsidRPr="00750C33">
        <w:rPr>
          <w:rFonts w:ascii="宋体" w:hAnsi="宋体" w:hint="eastAsia"/>
          <w:sz w:val="24"/>
          <w:szCs w:val="24"/>
        </w:rPr>
        <w:t>，</w:t>
      </w:r>
      <w:r w:rsidR="00724882">
        <w:rPr>
          <w:rFonts w:ascii="宋体" w:hAnsi="宋体"/>
          <w:sz w:val="24"/>
          <w:szCs w:val="24"/>
        </w:rPr>
        <w:t>创造了一个和谐共赢、奋发向上的文化共同体</w:t>
      </w:r>
      <w:r w:rsidR="00724882">
        <w:rPr>
          <w:rFonts w:ascii="宋体" w:hAnsi="宋体" w:hint="eastAsia"/>
          <w:sz w:val="24"/>
          <w:szCs w:val="24"/>
        </w:rPr>
        <w:t>，成为公司向上发展的不竭动力。</w:t>
      </w:r>
      <w:r w:rsidR="00BA6A1A" w:rsidRPr="00750C33">
        <w:rPr>
          <w:rFonts w:ascii="宋体" w:hAnsi="宋体"/>
          <w:sz w:val="24"/>
          <w:szCs w:val="24"/>
        </w:rPr>
        <w:t>公司</w:t>
      </w:r>
      <w:r w:rsidR="008B0C6D">
        <w:rPr>
          <w:rFonts w:ascii="宋体" w:hAnsi="宋体" w:hint="eastAsia"/>
          <w:sz w:val="24"/>
          <w:szCs w:val="24"/>
        </w:rPr>
        <w:t>通过</w:t>
      </w:r>
      <w:r w:rsidR="00BA6A1A" w:rsidRPr="00750C33">
        <w:rPr>
          <w:rFonts w:ascii="宋体" w:hAnsi="宋体"/>
          <w:sz w:val="24"/>
          <w:szCs w:val="24"/>
        </w:rPr>
        <w:t>《员工行为规范》等文件，明确员工的行为规范和价值标准。</w:t>
      </w:r>
      <w:r w:rsidR="00724882" w:rsidRPr="00750C33">
        <w:rPr>
          <w:rFonts w:ascii="宋体" w:hAnsi="宋体"/>
          <w:sz w:val="24"/>
          <w:szCs w:val="24"/>
        </w:rPr>
        <w:t>公司</w:t>
      </w:r>
      <w:r w:rsidR="00724882" w:rsidRPr="00724882">
        <w:rPr>
          <w:rFonts w:ascii="宋体" w:hAnsi="宋体" w:hint="eastAsia"/>
          <w:sz w:val="24"/>
          <w:szCs w:val="24"/>
        </w:rPr>
        <w:t>把企业文化建设融入到日常经营</w:t>
      </w:r>
      <w:r w:rsidR="00724882">
        <w:rPr>
          <w:rFonts w:ascii="宋体" w:hAnsi="宋体" w:hint="eastAsia"/>
          <w:sz w:val="24"/>
          <w:szCs w:val="24"/>
        </w:rPr>
        <w:t>管理</w:t>
      </w:r>
      <w:r w:rsidR="00724882" w:rsidRPr="00724882">
        <w:rPr>
          <w:rFonts w:ascii="宋体" w:hAnsi="宋体" w:hint="eastAsia"/>
          <w:sz w:val="24"/>
          <w:szCs w:val="24"/>
        </w:rPr>
        <w:t>活动中</w:t>
      </w:r>
      <w:r w:rsidR="00724882">
        <w:rPr>
          <w:rFonts w:ascii="宋体" w:hAnsi="宋体" w:hint="eastAsia"/>
          <w:sz w:val="24"/>
          <w:szCs w:val="24"/>
        </w:rPr>
        <w:t>，通过多种宣传渠道如</w:t>
      </w:r>
      <w:r w:rsidR="00724882" w:rsidRPr="00750C33">
        <w:rPr>
          <w:rFonts w:ascii="宋体" w:hAnsi="宋体"/>
          <w:sz w:val="24"/>
          <w:szCs w:val="24"/>
        </w:rPr>
        <w:t>员工培训、宣传栏、网站和内部宣讲等方式，</w:t>
      </w:r>
      <w:r w:rsidR="00724882" w:rsidRPr="00724882">
        <w:rPr>
          <w:rFonts w:ascii="宋体" w:hAnsi="宋体" w:hint="eastAsia"/>
          <w:sz w:val="24"/>
          <w:szCs w:val="24"/>
        </w:rPr>
        <w:t>向广大员工宣传企业</w:t>
      </w:r>
      <w:r w:rsidR="00724882">
        <w:rPr>
          <w:rFonts w:ascii="宋体" w:hAnsi="宋体" w:hint="eastAsia"/>
          <w:sz w:val="24"/>
          <w:szCs w:val="24"/>
        </w:rPr>
        <w:t>精神和经营</w:t>
      </w:r>
      <w:r w:rsidR="00724882" w:rsidRPr="00724882">
        <w:rPr>
          <w:rFonts w:ascii="宋体" w:hAnsi="宋体" w:hint="eastAsia"/>
          <w:sz w:val="24"/>
          <w:szCs w:val="24"/>
        </w:rPr>
        <w:t>理念，</w:t>
      </w:r>
      <w:r w:rsidR="008B0C6D" w:rsidRPr="008B0C6D">
        <w:rPr>
          <w:rFonts w:ascii="宋体" w:hAnsi="宋体" w:hint="eastAsia"/>
          <w:sz w:val="24"/>
          <w:szCs w:val="24"/>
        </w:rPr>
        <w:t>同时鼓励员工主动参加企业文化建设</w:t>
      </w:r>
      <w:r w:rsidR="008B0C6D" w:rsidRPr="0006198C">
        <w:rPr>
          <w:rFonts w:ascii="宋体" w:hAnsi="宋体" w:hint="eastAsia"/>
          <w:sz w:val="24"/>
          <w:szCs w:val="24"/>
        </w:rPr>
        <w:t>，</w:t>
      </w:r>
      <w:r w:rsidR="00D835DF" w:rsidRPr="0006198C">
        <w:rPr>
          <w:rFonts w:ascii="宋体" w:hAnsi="宋体" w:hint="eastAsia"/>
          <w:sz w:val="24"/>
          <w:szCs w:val="24"/>
        </w:rPr>
        <w:t>以</w:t>
      </w:r>
      <w:r w:rsidR="00724882" w:rsidRPr="0006198C">
        <w:rPr>
          <w:rFonts w:ascii="宋体" w:hAnsi="宋体" w:hint="eastAsia"/>
          <w:sz w:val="24"/>
          <w:szCs w:val="24"/>
        </w:rPr>
        <w:t>增强公司的凝聚力，保证公司的稳定运营</w:t>
      </w:r>
      <w:r w:rsidR="00724882" w:rsidRPr="0006198C">
        <w:rPr>
          <w:rFonts w:ascii="宋体" w:hAnsi="宋体"/>
          <w:sz w:val="24"/>
          <w:szCs w:val="24"/>
        </w:rPr>
        <w:t>。</w:t>
      </w:r>
    </w:p>
    <w:p w14:paraId="3242DD10" w14:textId="208CF888" w:rsidR="0026315E" w:rsidRPr="00750C33" w:rsidRDefault="0026315E" w:rsidP="0026315E">
      <w:pPr>
        <w:autoSpaceDE w:val="0"/>
        <w:autoSpaceDN w:val="0"/>
        <w:spacing w:line="360" w:lineRule="auto"/>
        <w:ind w:firstLineChars="200" w:firstLine="480"/>
        <w:textAlignment w:val="baseline"/>
        <w:rPr>
          <w:rFonts w:ascii="宋体" w:hAnsi="宋体" w:hint="eastAsia"/>
          <w:sz w:val="24"/>
          <w:szCs w:val="24"/>
        </w:rPr>
      </w:pPr>
      <w:r w:rsidRPr="0006198C">
        <w:rPr>
          <w:rFonts w:ascii="宋体" w:hAnsi="宋体"/>
          <w:sz w:val="24"/>
          <w:szCs w:val="24"/>
        </w:rPr>
        <w:t>5</w:t>
      </w:r>
      <w:r w:rsidR="00C8230A">
        <w:rPr>
          <w:rFonts w:ascii="宋体" w:hAnsi="宋体" w:hint="eastAsia"/>
          <w:sz w:val="24"/>
          <w:szCs w:val="24"/>
        </w:rPr>
        <w:t>．</w:t>
      </w:r>
      <w:r w:rsidRPr="0006198C">
        <w:rPr>
          <w:rFonts w:ascii="宋体" w:hAnsi="宋体" w:hint="eastAsia"/>
          <w:sz w:val="24"/>
          <w:szCs w:val="24"/>
        </w:rPr>
        <w:t>重大投资及风险投资管理</w:t>
      </w:r>
    </w:p>
    <w:p w14:paraId="4A277219" w14:textId="6B3059B3" w:rsidR="0026315E" w:rsidRPr="00BA182A" w:rsidRDefault="0026315E" w:rsidP="0026315E">
      <w:pPr>
        <w:autoSpaceDE w:val="0"/>
        <w:autoSpaceDN w:val="0"/>
        <w:spacing w:line="360" w:lineRule="auto"/>
        <w:textAlignment w:val="baseline"/>
        <w:rPr>
          <w:rFonts w:ascii="宋体" w:hAnsi="宋体" w:hint="eastAsia"/>
          <w:sz w:val="24"/>
          <w:szCs w:val="24"/>
        </w:rPr>
      </w:pPr>
      <w:r w:rsidRPr="00750C33">
        <w:rPr>
          <w:rFonts w:ascii="宋体" w:hAnsi="宋体" w:hint="eastAsia"/>
          <w:sz w:val="24"/>
          <w:szCs w:val="24"/>
        </w:rPr>
        <w:t xml:space="preserve">    </w:t>
      </w:r>
      <w:r w:rsidR="00E93DAA">
        <w:rPr>
          <w:rFonts w:ascii="宋体" w:hAnsi="宋体" w:hint="eastAsia"/>
          <w:sz w:val="24"/>
          <w:szCs w:val="24"/>
        </w:rPr>
        <w:t>公司在《公司章程》及制定的</w:t>
      </w:r>
      <w:r w:rsidRPr="00750C33">
        <w:rPr>
          <w:rFonts w:ascii="宋体" w:hAnsi="宋体"/>
          <w:sz w:val="24"/>
          <w:szCs w:val="24"/>
        </w:rPr>
        <w:t>《对外投资管理制度》</w:t>
      </w:r>
      <w:r w:rsidR="00E93DAA">
        <w:rPr>
          <w:rFonts w:ascii="宋体" w:hAnsi="宋体" w:hint="eastAsia"/>
          <w:sz w:val="24"/>
          <w:szCs w:val="24"/>
        </w:rPr>
        <w:t>中，</w:t>
      </w:r>
      <w:r w:rsidRPr="00750C33">
        <w:rPr>
          <w:rFonts w:ascii="宋体" w:hAnsi="宋体"/>
          <w:sz w:val="24"/>
          <w:szCs w:val="24"/>
        </w:rPr>
        <w:t>对</w:t>
      </w:r>
      <w:r w:rsidR="00200449">
        <w:rPr>
          <w:rFonts w:ascii="宋体" w:hAnsi="宋体" w:hint="eastAsia"/>
          <w:sz w:val="24"/>
          <w:szCs w:val="24"/>
        </w:rPr>
        <w:t>重大投资事项的投资范围、决策权限</w:t>
      </w:r>
      <w:r w:rsidRPr="00750C33">
        <w:rPr>
          <w:rFonts w:ascii="宋体" w:hAnsi="宋体"/>
          <w:sz w:val="24"/>
          <w:szCs w:val="24"/>
        </w:rPr>
        <w:t>、</w:t>
      </w:r>
      <w:r w:rsidR="00200449">
        <w:rPr>
          <w:rFonts w:ascii="宋体" w:hAnsi="宋体" w:hint="eastAsia"/>
          <w:sz w:val="24"/>
          <w:szCs w:val="24"/>
        </w:rPr>
        <w:t>决策管理程序、对外投资的转让与收回、重大事项报告</w:t>
      </w:r>
      <w:r w:rsidRPr="00750C33">
        <w:rPr>
          <w:rFonts w:ascii="宋体" w:hAnsi="宋体"/>
          <w:sz w:val="24"/>
          <w:szCs w:val="24"/>
        </w:rPr>
        <w:t>及信息披露等方面</w:t>
      </w:r>
      <w:r w:rsidR="00BA182A">
        <w:rPr>
          <w:rFonts w:ascii="宋体" w:hAnsi="宋体" w:hint="eastAsia"/>
          <w:sz w:val="24"/>
          <w:szCs w:val="24"/>
        </w:rPr>
        <w:t>予以明确规定</w:t>
      </w:r>
      <w:r w:rsidRPr="00750C33">
        <w:rPr>
          <w:rFonts w:ascii="宋体" w:hAnsi="宋体" w:hint="eastAsia"/>
          <w:sz w:val="24"/>
          <w:szCs w:val="24"/>
        </w:rPr>
        <w:t>，</w:t>
      </w:r>
      <w:r w:rsidR="00200449" w:rsidRPr="00200449">
        <w:rPr>
          <w:rFonts w:ascii="宋体" w:hAnsi="宋体" w:hint="eastAsia"/>
          <w:sz w:val="24"/>
          <w:szCs w:val="24"/>
        </w:rPr>
        <w:t>科学确定投资目标和规划，防范投资风险</w:t>
      </w:r>
      <w:r w:rsidR="00200449">
        <w:rPr>
          <w:rFonts w:ascii="宋体" w:hAnsi="宋体" w:hint="eastAsia"/>
          <w:sz w:val="24"/>
          <w:szCs w:val="24"/>
        </w:rPr>
        <w:t>。公司严格</w:t>
      </w:r>
      <w:r w:rsidR="00200449" w:rsidRPr="00BA182A">
        <w:rPr>
          <w:rFonts w:ascii="宋体" w:hAnsi="宋体" w:hint="eastAsia"/>
          <w:sz w:val="24"/>
          <w:szCs w:val="24"/>
        </w:rPr>
        <w:t>遵循上述法律法规及制度，审慎决策，严格控制</w:t>
      </w:r>
      <w:r w:rsidRPr="00BA182A">
        <w:rPr>
          <w:rFonts w:ascii="宋体" w:hAnsi="宋体" w:hint="eastAsia"/>
          <w:sz w:val="24"/>
          <w:szCs w:val="24"/>
        </w:rPr>
        <w:t>对外投资风险</w:t>
      </w:r>
      <w:r w:rsidR="00F80EF6" w:rsidRPr="00BA182A">
        <w:rPr>
          <w:rFonts w:ascii="宋体" w:hAnsi="宋体" w:hint="eastAsia"/>
          <w:sz w:val="24"/>
          <w:szCs w:val="24"/>
        </w:rPr>
        <w:t>。</w:t>
      </w:r>
    </w:p>
    <w:p w14:paraId="61632205" w14:textId="56935C44" w:rsidR="0026315E" w:rsidRPr="00750C33" w:rsidRDefault="0026315E" w:rsidP="0026315E">
      <w:pPr>
        <w:autoSpaceDE w:val="0"/>
        <w:autoSpaceDN w:val="0"/>
        <w:spacing w:line="360" w:lineRule="auto"/>
        <w:ind w:firstLineChars="200" w:firstLine="480"/>
        <w:textAlignment w:val="baseline"/>
        <w:rPr>
          <w:rFonts w:ascii="宋体" w:hAnsi="宋体" w:hint="eastAsia"/>
          <w:sz w:val="24"/>
          <w:szCs w:val="24"/>
        </w:rPr>
      </w:pPr>
      <w:r w:rsidRPr="00BA182A">
        <w:rPr>
          <w:rFonts w:ascii="宋体" w:hAnsi="宋体" w:hint="eastAsia"/>
          <w:sz w:val="24"/>
          <w:szCs w:val="24"/>
        </w:rPr>
        <w:t>6</w:t>
      </w:r>
      <w:r w:rsidR="00C8230A">
        <w:rPr>
          <w:rFonts w:ascii="宋体" w:hAnsi="宋体" w:hint="eastAsia"/>
          <w:sz w:val="24"/>
          <w:szCs w:val="24"/>
        </w:rPr>
        <w:t>．</w:t>
      </w:r>
      <w:r w:rsidRPr="00BA182A">
        <w:rPr>
          <w:rFonts w:ascii="宋体" w:hAnsi="宋体" w:hint="eastAsia"/>
          <w:sz w:val="24"/>
          <w:szCs w:val="24"/>
        </w:rPr>
        <w:t>日</w:t>
      </w:r>
      <w:r w:rsidRPr="00BA182A">
        <w:rPr>
          <w:rFonts w:ascii="宋体" w:hAnsi="宋体"/>
          <w:sz w:val="24"/>
          <w:szCs w:val="24"/>
        </w:rPr>
        <w:t>常</w:t>
      </w:r>
      <w:r w:rsidRPr="00BA182A">
        <w:rPr>
          <w:rFonts w:ascii="宋体" w:hAnsi="宋体" w:hint="eastAsia"/>
          <w:sz w:val="24"/>
          <w:szCs w:val="24"/>
        </w:rPr>
        <w:t>关联交易</w:t>
      </w:r>
    </w:p>
    <w:p w14:paraId="331D1599" w14:textId="6AD74D11" w:rsidR="0026315E" w:rsidRPr="00750C33" w:rsidRDefault="00BA182A" w:rsidP="0026315E">
      <w:pPr>
        <w:autoSpaceDE w:val="0"/>
        <w:autoSpaceDN w:val="0"/>
        <w:spacing w:line="360" w:lineRule="auto"/>
        <w:ind w:firstLineChars="200" w:firstLine="480"/>
        <w:textAlignment w:val="baseline"/>
        <w:rPr>
          <w:rFonts w:ascii="宋体" w:hAnsi="宋体" w:hint="eastAsia"/>
          <w:sz w:val="24"/>
          <w:szCs w:val="24"/>
        </w:rPr>
      </w:pPr>
      <w:r w:rsidRPr="00BA182A">
        <w:rPr>
          <w:rFonts w:ascii="宋体" w:hAnsi="宋体" w:hint="eastAsia"/>
          <w:sz w:val="24"/>
          <w:szCs w:val="24"/>
        </w:rPr>
        <w:t>为规范公司的关联交易行为，提高公司规范运作水平，保护投资者的合法权益，</w:t>
      </w:r>
      <w:r w:rsidR="0026315E" w:rsidRPr="00750C33">
        <w:rPr>
          <w:rFonts w:ascii="宋体" w:hAnsi="宋体" w:hint="eastAsia"/>
          <w:sz w:val="24"/>
          <w:szCs w:val="24"/>
        </w:rPr>
        <w:t>公司在</w:t>
      </w:r>
      <w:r w:rsidR="00217B85">
        <w:rPr>
          <w:rFonts w:ascii="宋体" w:hAnsi="宋体" w:hint="eastAsia"/>
          <w:sz w:val="24"/>
          <w:szCs w:val="24"/>
        </w:rPr>
        <w:t>《公司章程》及制定的</w:t>
      </w:r>
      <w:r w:rsidR="0026315E" w:rsidRPr="00750C33">
        <w:rPr>
          <w:rFonts w:ascii="宋体" w:hAnsi="宋体" w:hint="eastAsia"/>
          <w:sz w:val="24"/>
          <w:szCs w:val="24"/>
        </w:rPr>
        <w:t>《关联交易决策制度》中，</w:t>
      </w:r>
      <w:r>
        <w:rPr>
          <w:rFonts w:ascii="宋体" w:hAnsi="宋体" w:hint="eastAsia"/>
          <w:sz w:val="24"/>
          <w:szCs w:val="24"/>
        </w:rPr>
        <w:t>对</w:t>
      </w:r>
      <w:r w:rsidR="0026315E" w:rsidRPr="00750C33">
        <w:rPr>
          <w:rFonts w:ascii="宋体" w:hAnsi="宋体" w:hint="eastAsia"/>
          <w:sz w:val="24"/>
          <w:szCs w:val="24"/>
        </w:rPr>
        <w:t>关联交易应遵循的基本原则、关联方和关联交易的范围、关联交易的定价原则和定价方法等</w:t>
      </w:r>
      <w:r>
        <w:rPr>
          <w:rFonts w:ascii="宋体" w:hAnsi="宋体" w:hint="eastAsia"/>
          <w:sz w:val="24"/>
          <w:szCs w:val="24"/>
        </w:rPr>
        <w:t>予以明确规定</w:t>
      </w:r>
      <w:r w:rsidR="0026315E" w:rsidRPr="00750C33">
        <w:rPr>
          <w:rFonts w:ascii="宋体" w:hAnsi="宋体" w:hint="eastAsia"/>
          <w:sz w:val="24"/>
          <w:szCs w:val="24"/>
        </w:rPr>
        <w:t>，明确了股东大会、董事会、董事长的审批权限及其决策程序、关联交易的信息披露，遵循诚实信用、平等、自愿、公平、公开、公允的</w:t>
      </w:r>
      <w:r w:rsidR="00217B85">
        <w:rPr>
          <w:rFonts w:ascii="宋体" w:hAnsi="宋体" w:hint="eastAsia"/>
          <w:sz w:val="24"/>
          <w:szCs w:val="24"/>
        </w:rPr>
        <w:t>原则，有效维护了公司及股东利益。报告期内，公司关联交易的相关控制措施</w:t>
      </w:r>
      <w:r w:rsidR="0026315E" w:rsidRPr="00750C33">
        <w:rPr>
          <w:rFonts w:ascii="宋体" w:hAnsi="宋体" w:hint="eastAsia"/>
          <w:sz w:val="24"/>
          <w:szCs w:val="24"/>
        </w:rPr>
        <w:t>得到</w:t>
      </w:r>
      <w:r w:rsidR="00217B85">
        <w:rPr>
          <w:rFonts w:ascii="宋体" w:hAnsi="宋体" w:hint="eastAsia"/>
          <w:sz w:val="24"/>
          <w:szCs w:val="24"/>
        </w:rPr>
        <w:t>了</w:t>
      </w:r>
      <w:r w:rsidR="0026315E" w:rsidRPr="00750C33">
        <w:rPr>
          <w:rFonts w:ascii="宋体" w:hAnsi="宋体" w:hint="eastAsia"/>
          <w:sz w:val="24"/>
          <w:szCs w:val="24"/>
        </w:rPr>
        <w:t>有效执行。</w:t>
      </w:r>
    </w:p>
    <w:p w14:paraId="7DD26B1D" w14:textId="39899DE2" w:rsidR="0026315E" w:rsidRPr="00750C33" w:rsidRDefault="0026315E" w:rsidP="007651A5">
      <w:pPr>
        <w:autoSpaceDE w:val="0"/>
        <w:autoSpaceDN w:val="0"/>
        <w:spacing w:line="360" w:lineRule="auto"/>
        <w:ind w:firstLineChars="200" w:firstLine="480"/>
        <w:textAlignment w:val="baseline"/>
        <w:rPr>
          <w:rFonts w:ascii="宋体" w:hAnsi="宋体" w:hint="eastAsia"/>
          <w:sz w:val="24"/>
          <w:szCs w:val="24"/>
        </w:rPr>
      </w:pPr>
      <w:r>
        <w:rPr>
          <w:rFonts w:ascii="宋体" w:hAnsi="宋体"/>
          <w:sz w:val="24"/>
          <w:szCs w:val="24"/>
        </w:rPr>
        <w:t>7</w:t>
      </w:r>
      <w:r w:rsidR="00C8230A">
        <w:rPr>
          <w:rFonts w:ascii="宋体" w:hAnsi="宋体" w:hint="eastAsia"/>
          <w:sz w:val="24"/>
          <w:szCs w:val="24"/>
        </w:rPr>
        <w:t>．</w:t>
      </w:r>
      <w:r w:rsidRPr="00750C33">
        <w:rPr>
          <w:rFonts w:ascii="宋体" w:hAnsi="宋体" w:hint="eastAsia"/>
          <w:sz w:val="24"/>
          <w:szCs w:val="24"/>
        </w:rPr>
        <w:t>对外担保</w:t>
      </w:r>
    </w:p>
    <w:p w14:paraId="7D4154A4" w14:textId="244BEB67" w:rsidR="0026315E" w:rsidRPr="000922CE" w:rsidRDefault="001705E7" w:rsidP="000A7DDC">
      <w:pPr>
        <w:autoSpaceDE w:val="0"/>
        <w:autoSpaceDN w:val="0"/>
        <w:spacing w:line="360" w:lineRule="auto"/>
        <w:ind w:firstLineChars="200" w:firstLine="480"/>
        <w:textAlignment w:val="baseline"/>
        <w:rPr>
          <w:rFonts w:ascii="宋体" w:hAnsi="宋体" w:hint="eastAsia"/>
          <w:sz w:val="24"/>
          <w:szCs w:val="24"/>
        </w:rPr>
      </w:pPr>
      <w:r w:rsidRPr="001705E7">
        <w:rPr>
          <w:rFonts w:ascii="宋体" w:hAnsi="宋体" w:hint="eastAsia"/>
          <w:sz w:val="24"/>
          <w:szCs w:val="24"/>
        </w:rPr>
        <w:t>为依法规范公司的对外担保行为，有效防范公司对外担保风险，确保公司资产安全，</w:t>
      </w:r>
      <w:r w:rsidR="003526EF">
        <w:rPr>
          <w:rFonts w:ascii="宋体" w:hAnsi="宋体" w:hint="eastAsia"/>
          <w:sz w:val="24"/>
          <w:szCs w:val="24"/>
        </w:rPr>
        <w:t>公司</w:t>
      </w:r>
      <w:r w:rsidR="00BA182A">
        <w:rPr>
          <w:rFonts w:ascii="宋体" w:hAnsi="宋体" w:hint="eastAsia"/>
          <w:sz w:val="24"/>
          <w:szCs w:val="24"/>
        </w:rPr>
        <w:t>在</w:t>
      </w:r>
      <w:r w:rsidR="0026315E" w:rsidRPr="00750C33">
        <w:rPr>
          <w:rFonts w:ascii="宋体" w:hAnsi="宋体"/>
          <w:sz w:val="24"/>
          <w:szCs w:val="24"/>
        </w:rPr>
        <w:t>《公司章程》</w:t>
      </w:r>
      <w:r w:rsidR="00BA182A">
        <w:rPr>
          <w:rFonts w:ascii="宋体" w:hAnsi="宋体" w:hint="eastAsia"/>
          <w:sz w:val="24"/>
          <w:szCs w:val="24"/>
        </w:rPr>
        <w:t>及制定的</w:t>
      </w:r>
      <w:r w:rsidR="003526EF">
        <w:rPr>
          <w:rFonts w:ascii="宋体" w:hAnsi="宋体" w:hint="eastAsia"/>
          <w:sz w:val="24"/>
          <w:szCs w:val="24"/>
        </w:rPr>
        <w:t>《对外担保管理制度》</w:t>
      </w:r>
      <w:r w:rsidR="00BA182A">
        <w:rPr>
          <w:rFonts w:ascii="宋体" w:hAnsi="宋体" w:hint="eastAsia"/>
          <w:sz w:val="24"/>
          <w:szCs w:val="24"/>
        </w:rPr>
        <w:t>中</w:t>
      </w:r>
      <w:r w:rsidR="0026315E" w:rsidRPr="00750C33">
        <w:rPr>
          <w:rFonts w:ascii="宋体" w:hAnsi="宋体" w:hint="eastAsia"/>
          <w:sz w:val="24"/>
          <w:szCs w:val="24"/>
        </w:rPr>
        <w:t>，</w:t>
      </w:r>
      <w:r w:rsidRPr="001705E7">
        <w:rPr>
          <w:rFonts w:ascii="宋体" w:hAnsi="宋体" w:hint="eastAsia"/>
          <w:sz w:val="24"/>
          <w:szCs w:val="24"/>
        </w:rPr>
        <w:t>明确了对外担保的原则、担保对象的审查、担保事项的审批</w:t>
      </w:r>
      <w:r w:rsidRPr="00750C33">
        <w:rPr>
          <w:rFonts w:ascii="宋体" w:hAnsi="宋体" w:hint="eastAsia"/>
          <w:sz w:val="24"/>
          <w:szCs w:val="24"/>
        </w:rPr>
        <w:t>流程</w:t>
      </w:r>
      <w:r w:rsidRPr="001705E7">
        <w:rPr>
          <w:rFonts w:ascii="宋体" w:hAnsi="宋体" w:hint="eastAsia"/>
          <w:sz w:val="24"/>
          <w:szCs w:val="24"/>
        </w:rPr>
        <w:t>、担保过程的管理等要求</w:t>
      </w:r>
      <w:r w:rsidR="0026315E" w:rsidRPr="00750C33">
        <w:rPr>
          <w:rFonts w:ascii="宋体" w:hAnsi="宋体"/>
          <w:sz w:val="24"/>
          <w:szCs w:val="24"/>
        </w:rPr>
        <w:t>，</w:t>
      </w:r>
      <w:r w:rsidR="0026315E" w:rsidRPr="00750C33">
        <w:rPr>
          <w:rFonts w:ascii="宋体" w:hAnsi="宋体" w:hint="eastAsia"/>
          <w:sz w:val="24"/>
          <w:szCs w:val="24"/>
        </w:rPr>
        <w:t>明</w:t>
      </w:r>
      <w:r w:rsidR="0026315E" w:rsidRPr="007E6374">
        <w:rPr>
          <w:rFonts w:ascii="宋体" w:hAnsi="宋体" w:hint="eastAsia"/>
          <w:sz w:val="24"/>
          <w:szCs w:val="24"/>
        </w:rPr>
        <w:t>确</w:t>
      </w:r>
      <w:r w:rsidR="0098038C">
        <w:rPr>
          <w:rFonts w:ascii="宋体" w:hAnsi="宋体" w:hint="eastAsia"/>
          <w:sz w:val="24"/>
          <w:szCs w:val="24"/>
        </w:rPr>
        <w:t>规定</w:t>
      </w:r>
      <w:r w:rsidR="0026315E" w:rsidRPr="007E6374">
        <w:rPr>
          <w:rFonts w:ascii="宋体" w:hAnsi="宋体" w:hint="eastAsia"/>
          <w:sz w:val="24"/>
          <w:szCs w:val="24"/>
        </w:rPr>
        <w:t>对外提供担保由公司统一管</w:t>
      </w:r>
      <w:r w:rsidR="0026315E" w:rsidRPr="000922CE">
        <w:rPr>
          <w:rFonts w:ascii="宋体" w:hAnsi="宋体" w:hint="eastAsia"/>
          <w:sz w:val="24"/>
          <w:szCs w:val="24"/>
        </w:rPr>
        <w:t>理。</w:t>
      </w:r>
      <w:r w:rsidR="000A7DDC">
        <w:rPr>
          <w:rFonts w:ascii="宋体" w:hAnsi="宋体" w:hint="eastAsia"/>
          <w:sz w:val="24"/>
          <w:szCs w:val="24"/>
        </w:rPr>
        <w:t>报告期内，公司对于</w:t>
      </w:r>
      <w:r w:rsidR="00C93150" w:rsidRPr="000922CE">
        <w:rPr>
          <w:rFonts w:ascii="宋体" w:hAnsi="宋体" w:hint="eastAsia"/>
          <w:sz w:val="24"/>
          <w:szCs w:val="24"/>
        </w:rPr>
        <w:t>以前年度发生的违规担保的情形</w:t>
      </w:r>
      <w:r w:rsidR="000922CE" w:rsidRPr="000922CE">
        <w:rPr>
          <w:rFonts w:ascii="宋体" w:hAnsi="宋体" w:hint="eastAsia"/>
          <w:sz w:val="24"/>
          <w:szCs w:val="24"/>
        </w:rPr>
        <w:t>已</w:t>
      </w:r>
      <w:r w:rsidR="002D7FCD">
        <w:rPr>
          <w:rFonts w:ascii="宋体" w:hAnsi="宋体" w:hint="eastAsia"/>
          <w:sz w:val="24"/>
          <w:szCs w:val="24"/>
        </w:rPr>
        <w:t>化解</w:t>
      </w:r>
      <w:r w:rsidR="000922CE" w:rsidRPr="000922CE">
        <w:rPr>
          <w:rFonts w:ascii="宋体" w:hAnsi="宋体" w:hint="eastAsia"/>
          <w:sz w:val="24"/>
          <w:szCs w:val="24"/>
        </w:rPr>
        <w:t>，并</w:t>
      </w:r>
      <w:r w:rsidR="00C93150" w:rsidRPr="000922CE">
        <w:rPr>
          <w:rFonts w:ascii="宋体" w:hAnsi="宋体" w:hint="eastAsia"/>
          <w:sz w:val="24"/>
          <w:szCs w:val="24"/>
        </w:rPr>
        <w:t>严格按照监管规则和制度进行相关事项的管理，杜绝违规事项发生，提高公司内部控制管理水平。</w:t>
      </w:r>
    </w:p>
    <w:p w14:paraId="5841DDF3" w14:textId="572E6757" w:rsidR="007651A5" w:rsidRPr="0006198C" w:rsidRDefault="007651A5" w:rsidP="007651A5">
      <w:pPr>
        <w:autoSpaceDE w:val="0"/>
        <w:autoSpaceDN w:val="0"/>
        <w:spacing w:line="360" w:lineRule="auto"/>
        <w:ind w:firstLineChars="200" w:firstLine="480"/>
        <w:textAlignment w:val="baseline"/>
        <w:rPr>
          <w:rFonts w:ascii="宋体" w:hAnsi="宋体" w:hint="eastAsia"/>
          <w:sz w:val="24"/>
          <w:szCs w:val="24"/>
        </w:rPr>
      </w:pPr>
      <w:r w:rsidRPr="0006198C">
        <w:rPr>
          <w:rFonts w:ascii="宋体" w:hAnsi="宋体" w:hint="eastAsia"/>
          <w:sz w:val="24"/>
          <w:szCs w:val="24"/>
        </w:rPr>
        <w:t>8</w:t>
      </w:r>
      <w:r w:rsidR="00C8230A">
        <w:rPr>
          <w:rFonts w:ascii="宋体" w:hAnsi="宋体" w:hint="eastAsia"/>
          <w:sz w:val="24"/>
          <w:szCs w:val="24"/>
        </w:rPr>
        <w:t>．</w:t>
      </w:r>
      <w:r w:rsidRPr="0006198C">
        <w:rPr>
          <w:rFonts w:ascii="宋体" w:hAnsi="宋体" w:hint="eastAsia"/>
          <w:sz w:val="24"/>
          <w:szCs w:val="24"/>
        </w:rPr>
        <w:t>资金活动</w:t>
      </w:r>
      <w:r w:rsidRPr="0006198C">
        <w:rPr>
          <w:rFonts w:ascii="宋体" w:hAnsi="宋体"/>
          <w:sz w:val="24"/>
          <w:szCs w:val="24"/>
        </w:rPr>
        <w:t xml:space="preserve">管理 </w:t>
      </w:r>
    </w:p>
    <w:p w14:paraId="7EE55B4B" w14:textId="738C900A" w:rsidR="007651A5" w:rsidRPr="0026315E" w:rsidRDefault="007651A5" w:rsidP="000A7DDC">
      <w:pPr>
        <w:autoSpaceDE w:val="0"/>
        <w:autoSpaceDN w:val="0"/>
        <w:spacing w:line="360" w:lineRule="auto"/>
        <w:ind w:firstLineChars="200" w:firstLine="480"/>
        <w:textAlignment w:val="baseline"/>
        <w:rPr>
          <w:rFonts w:ascii="宋体" w:hAnsi="宋体" w:hint="eastAsia"/>
          <w:sz w:val="24"/>
          <w:szCs w:val="24"/>
        </w:rPr>
      </w:pPr>
      <w:r w:rsidRPr="0006198C">
        <w:rPr>
          <w:rFonts w:ascii="宋体" w:hAnsi="宋体"/>
          <w:sz w:val="24"/>
          <w:szCs w:val="24"/>
        </w:rPr>
        <w:lastRenderedPageBreak/>
        <w:t>公司</w:t>
      </w:r>
      <w:r w:rsidR="00C36998" w:rsidRPr="0006198C">
        <w:rPr>
          <w:rFonts w:ascii="宋体" w:hAnsi="宋体" w:hint="eastAsia"/>
          <w:sz w:val="24"/>
          <w:szCs w:val="24"/>
        </w:rPr>
        <w:t>已经</w:t>
      </w:r>
      <w:r w:rsidRPr="0006198C">
        <w:rPr>
          <w:rFonts w:ascii="宋体" w:hAnsi="宋体"/>
          <w:sz w:val="24"/>
          <w:szCs w:val="24"/>
        </w:rPr>
        <w:t>形成了严格的资</w:t>
      </w:r>
      <w:r w:rsidRPr="000922CE">
        <w:rPr>
          <w:rFonts w:ascii="宋体" w:hAnsi="宋体"/>
          <w:sz w:val="24"/>
          <w:szCs w:val="24"/>
        </w:rPr>
        <w:t>金审批授权程序，规范了公司投资、筹资和资金运营活动，有效</w:t>
      </w:r>
      <w:r w:rsidRPr="000922CE">
        <w:rPr>
          <w:rFonts w:ascii="宋体" w:hAnsi="宋体" w:hint="eastAsia"/>
          <w:sz w:val="24"/>
          <w:szCs w:val="24"/>
        </w:rPr>
        <w:t>地</w:t>
      </w:r>
      <w:r w:rsidRPr="000922CE">
        <w:rPr>
          <w:rFonts w:ascii="宋体" w:hAnsi="宋体"/>
          <w:sz w:val="24"/>
          <w:szCs w:val="24"/>
        </w:rPr>
        <w:t>防范了资金活动风险，提高了资金效益。</w:t>
      </w:r>
      <w:r w:rsidRPr="000922CE">
        <w:rPr>
          <w:rFonts w:ascii="宋体" w:hAnsi="宋体" w:hint="eastAsia"/>
          <w:sz w:val="24"/>
          <w:szCs w:val="24"/>
        </w:rPr>
        <w:t>同时</w:t>
      </w:r>
      <w:r w:rsidRPr="000922CE">
        <w:rPr>
          <w:rFonts w:ascii="宋体" w:hAnsi="宋体"/>
          <w:sz w:val="24"/>
          <w:szCs w:val="24"/>
        </w:rPr>
        <w:t>公司建立了</w:t>
      </w:r>
      <w:r w:rsidRPr="000922CE">
        <w:rPr>
          <w:rFonts w:ascii="宋体" w:hAnsi="宋体" w:hint="eastAsia"/>
          <w:sz w:val="24"/>
          <w:szCs w:val="24"/>
        </w:rPr>
        <w:t>各</w:t>
      </w:r>
      <w:r w:rsidRPr="000922CE">
        <w:rPr>
          <w:rFonts w:ascii="宋体" w:hAnsi="宋体"/>
          <w:sz w:val="24"/>
          <w:szCs w:val="24"/>
        </w:rPr>
        <w:t>岗位责任制，对银行账户管理、现金管理、票据管理、银行印鉴管理、收付款管理等环节的职责权限、岗位分离、授权审批程序、资金预算等方面进行了规范。</w:t>
      </w:r>
      <w:r w:rsidR="000A7DDC">
        <w:rPr>
          <w:rFonts w:ascii="宋体" w:hAnsi="宋体" w:hint="eastAsia"/>
          <w:sz w:val="24"/>
          <w:szCs w:val="24"/>
        </w:rPr>
        <w:t>报告期内，公司对于</w:t>
      </w:r>
      <w:r w:rsidR="00C93150" w:rsidRPr="000922CE">
        <w:rPr>
          <w:rFonts w:ascii="宋体" w:hAnsi="宋体" w:hint="eastAsia"/>
          <w:sz w:val="24"/>
          <w:szCs w:val="24"/>
        </w:rPr>
        <w:t>以前年度发生的</w:t>
      </w:r>
      <w:r w:rsidR="000A7DDC">
        <w:rPr>
          <w:rFonts w:ascii="宋体" w:hAnsi="宋体" w:hint="eastAsia"/>
          <w:sz w:val="24"/>
          <w:szCs w:val="24"/>
        </w:rPr>
        <w:t>原</w:t>
      </w:r>
      <w:r w:rsidR="00C93150" w:rsidRPr="000922CE">
        <w:rPr>
          <w:rFonts w:ascii="宋体" w:hAnsi="宋体" w:hint="eastAsia"/>
          <w:sz w:val="24"/>
          <w:szCs w:val="24"/>
        </w:rPr>
        <w:t>控股股东及其关联方非经营性资金占用的情形</w:t>
      </w:r>
      <w:r w:rsidR="002D7FCD">
        <w:rPr>
          <w:rFonts w:ascii="宋体" w:hAnsi="宋体" w:hint="eastAsia"/>
          <w:sz w:val="24"/>
          <w:szCs w:val="24"/>
        </w:rPr>
        <w:t>已妥善清偿</w:t>
      </w:r>
      <w:r w:rsidR="000922CE" w:rsidRPr="000922CE">
        <w:rPr>
          <w:rFonts w:ascii="宋体" w:hAnsi="宋体" w:hint="eastAsia"/>
          <w:sz w:val="24"/>
          <w:szCs w:val="24"/>
        </w:rPr>
        <w:t>，并</w:t>
      </w:r>
      <w:r w:rsidR="00C93150" w:rsidRPr="000922CE">
        <w:rPr>
          <w:rFonts w:ascii="宋体" w:hAnsi="宋体" w:hint="eastAsia"/>
          <w:sz w:val="24"/>
          <w:szCs w:val="24"/>
        </w:rPr>
        <w:t>严格按照监管规则和制度进行相关事项的管理，杜绝违规事项发生，提高公司内部控制管理水平。</w:t>
      </w:r>
    </w:p>
    <w:p w14:paraId="593D17F1" w14:textId="695B364A" w:rsidR="00B247F8" w:rsidRPr="00750C33" w:rsidRDefault="00361C97" w:rsidP="00B83BAD">
      <w:pPr>
        <w:autoSpaceDE w:val="0"/>
        <w:autoSpaceDN w:val="0"/>
        <w:spacing w:line="360" w:lineRule="auto"/>
        <w:ind w:firstLineChars="200" w:firstLine="480"/>
        <w:textAlignment w:val="baseline"/>
        <w:rPr>
          <w:rFonts w:ascii="宋体" w:hAnsi="宋体" w:hint="eastAsia"/>
          <w:sz w:val="24"/>
          <w:szCs w:val="24"/>
        </w:rPr>
      </w:pPr>
      <w:r>
        <w:rPr>
          <w:rFonts w:ascii="宋体" w:hAnsi="宋体" w:hint="eastAsia"/>
          <w:sz w:val="24"/>
          <w:szCs w:val="24"/>
        </w:rPr>
        <w:t>9</w:t>
      </w:r>
      <w:r w:rsidR="00C8230A">
        <w:rPr>
          <w:rFonts w:ascii="宋体" w:hAnsi="宋体" w:hint="eastAsia"/>
          <w:sz w:val="24"/>
          <w:szCs w:val="24"/>
        </w:rPr>
        <w:t>．</w:t>
      </w:r>
      <w:r w:rsidR="00B247F8" w:rsidRPr="00750C33">
        <w:rPr>
          <w:rFonts w:ascii="宋体" w:hAnsi="宋体" w:hint="eastAsia"/>
          <w:sz w:val="24"/>
          <w:szCs w:val="24"/>
        </w:rPr>
        <w:t>控股子公司</w:t>
      </w:r>
      <w:r w:rsidR="0097754F" w:rsidRPr="00750C33">
        <w:rPr>
          <w:rFonts w:ascii="宋体" w:hAnsi="宋体" w:hint="eastAsia"/>
          <w:sz w:val="24"/>
          <w:szCs w:val="24"/>
        </w:rPr>
        <w:t>管理</w:t>
      </w:r>
    </w:p>
    <w:p w14:paraId="17CC6DBE" w14:textId="77777777" w:rsidR="00556E75" w:rsidRPr="00750C33" w:rsidRDefault="00FD4A5F" w:rsidP="00B83BAD">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sz w:val="24"/>
          <w:szCs w:val="24"/>
        </w:rPr>
        <w:t>公司</w:t>
      </w:r>
      <w:r w:rsidR="00064AE1" w:rsidRPr="00750C33">
        <w:rPr>
          <w:rFonts w:ascii="宋体" w:hAnsi="宋体" w:hint="eastAsia"/>
          <w:sz w:val="24"/>
          <w:szCs w:val="24"/>
        </w:rPr>
        <w:t>根据</w:t>
      </w:r>
      <w:r w:rsidR="003D5160" w:rsidRPr="00750C33">
        <w:rPr>
          <w:rFonts w:ascii="宋体" w:hAnsi="宋体"/>
          <w:sz w:val="24"/>
          <w:szCs w:val="24"/>
        </w:rPr>
        <w:t>《子公司管理规定》等制度</w:t>
      </w:r>
      <w:r w:rsidR="003D5160" w:rsidRPr="00750C33">
        <w:rPr>
          <w:rFonts w:ascii="宋体" w:hAnsi="宋体" w:hint="eastAsia"/>
          <w:sz w:val="24"/>
          <w:szCs w:val="24"/>
        </w:rPr>
        <w:t>，</w:t>
      </w:r>
      <w:r w:rsidR="00EB06A7" w:rsidRPr="00750C33">
        <w:rPr>
          <w:rFonts w:ascii="宋体" w:hAnsi="宋体" w:hint="eastAsia"/>
          <w:sz w:val="24"/>
          <w:szCs w:val="24"/>
        </w:rPr>
        <w:t>对公司的组织、资源、资产、投资等和公司的运作进行风险控制，</w:t>
      </w:r>
      <w:r w:rsidR="00556E75" w:rsidRPr="00750C33">
        <w:rPr>
          <w:rFonts w:ascii="宋体" w:hAnsi="宋体" w:hint="eastAsia"/>
          <w:sz w:val="24"/>
          <w:szCs w:val="24"/>
        </w:rPr>
        <w:t>各职能部门对子公司相关业务和管理进行指导、服务和监督，从公司治理、日常经营、财务管理、信息披露等各方面对子公司实施管理与控制。子公司的</w:t>
      </w:r>
      <w:r w:rsidR="000C2794" w:rsidRPr="00750C33">
        <w:rPr>
          <w:rFonts w:ascii="宋体" w:hAnsi="宋体" w:hint="eastAsia"/>
          <w:sz w:val="24"/>
          <w:szCs w:val="24"/>
        </w:rPr>
        <w:t>总经理和</w:t>
      </w:r>
      <w:r w:rsidR="000C2794" w:rsidRPr="00750C33">
        <w:rPr>
          <w:rFonts w:ascii="宋体" w:hAnsi="宋体"/>
          <w:sz w:val="24"/>
          <w:szCs w:val="24"/>
        </w:rPr>
        <w:t>财务总监</w:t>
      </w:r>
      <w:r w:rsidR="00556E75" w:rsidRPr="00750C33">
        <w:rPr>
          <w:rFonts w:ascii="宋体" w:hAnsi="宋体" w:hint="eastAsia"/>
          <w:sz w:val="24"/>
          <w:szCs w:val="24"/>
        </w:rPr>
        <w:t>由公司派出人员担任，直接参与其具体经营事务的管理工作，子公司的重大事项均需按照规定上报公司审核后方可执行，确保了公司对各子公司的有效管理和控制。</w:t>
      </w:r>
    </w:p>
    <w:p w14:paraId="1679588B" w14:textId="2D3EBBEC" w:rsidR="00707A02" w:rsidRPr="00750C33" w:rsidRDefault="00361C97" w:rsidP="00B83BAD">
      <w:pPr>
        <w:autoSpaceDE w:val="0"/>
        <w:autoSpaceDN w:val="0"/>
        <w:spacing w:line="360" w:lineRule="auto"/>
        <w:ind w:firstLineChars="200" w:firstLine="480"/>
        <w:textAlignment w:val="baseline"/>
        <w:rPr>
          <w:rFonts w:ascii="宋体" w:hAnsi="宋体" w:hint="eastAsia"/>
          <w:sz w:val="24"/>
          <w:szCs w:val="24"/>
        </w:rPr>
      </w:pPr>
      <w:r w:rsidRPr="006E35FA">
        <w:rPr>
          <w:rFonts w:ascii="宋体" w:hAnsi="宋体"/>
          <w:sz w:val="24"/>
          <w:szCs w:val="24"/>
        </w:rPr>
        <w:t>10</w:t>
      </w:r>
      <w:r w:rsidR="00C8230A">
        <w:rPr>
          <w:rFonts w:ascii="宋体" w:hAnsi="宋体" w:hint="eastAsia"/>
          <w:sz w:val="24"/>
          <w:szCs w:val="24"/>
        </w:rPr>
        <w:t>．</w:t>
      </w:r>
      <w:r w:rsidR="00707A02" w:rsidRPr="006E35FA">
        <w:rPr>
          <w:rFonts w:ascii="宋体" w:hAnsi="宋体" w:hint="eastAsia"/>
          <w:sz w:val="24"/>
          <w:szCs w:val="24"/>
        </w:rPr>
        <w:t>募集资金存放与使用管理</w:t>
      </w:r>
    </w:p>
    <w:p w14:paraId="48469999" w14:textId="7B987D15" w:rsidR="00707A02" w:rsidRPr="00750C33" w:rsidRDefault="00707A02" w:rsidP="00707A02">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hint="eastAsia"/>
          <w:sz w:val="24"/>
          <w:szCs w:val="24"/>
        </w:rPr>
        <w:t>公司</w:t>
      </w:r>
      <w:r w:rsidR="00064AE1" w:rsidRPr="00750C33">
        <w:rPr>
          <w:rFonts w:ascii="宋体" w:hAnsi="宋体" w:hint="eastAsia"/>
          <w:sz w:val="24"/>
          <w:szCs w:val="24"/>
        </w:rPr>
        <w:t>严格遵守</w:t>
      </w:r>
      <w:r w:rsidR="00A75555">
        <w:rPr>
          <w:rFonts w:ascii="宋体" w:hAnsi="宋体" w:hint="eastAsia"/>
          <w:sz w:val="24"/>
          <w:szCs w:val="24"/>
        </w:rPr>
        <w:t>证监会关于上市公司募集资金的相关规定，制定并严格执行</w:t>
      </w:r>
      <w:r w:rsidR="008A4475" w:rsidRPr="00750C33">
        <w:rPr>
          <w:rFonts w:ascii="宋体" w:hAnsi="宋体" w:hint="eastAsia"/>
          <w:sz w:val="24"/>
          <w:szCs w:val="24"/>
        </w:rPr>
        <w:t>《募集资金管理制度》，</w:t>
      </w:r>
      <w:r w:rsidR="007D06CB" w:rsidRPr="00750C33">
        <w:rPr>
          <w:rFonts w:ascii="宋体" w:hAnsi="宋体"/>
          <w:sz w:val="24"/>
          <w:szCs w:val="24"/>
        </w:rPr>
        <w:t>对募集资金的使用、投向、管理及监督等内容作了详细的规定并进行严格的规范管理，对募集资金实行专户存储，实行专项审批，以保证专款专用。</w:t>
      </w:r>
      <w:r w:rsidR="00A75555">
        <w:rPr>
          <w:rFonts w:ascii="宋体" w:hAnsi="宋体" w:hint="eastAsia"/>
          <w:sz w:val="24"/>
          <w:szCs w:val="24"/>
        </w:rPr>
        <w:t>同时，公司内审部门定期对募集资金的存放与使用情况进行审查</w:t>
      </w:r>
      <w:r w:rsidR="00A75555" w:rsidRPr="00A75555">
        <w:rPr>
          <w:rFonts w:ascii="宋体" w:hAnsi="宋体" w:hint="eastAsia"/>
          <w:sz w:val="24"/>
          <w:szCs w:val="24"/>
        </w:rPr>
        <w:t>，</w:t>
      </w:r>
      <w:r w:rsidR="005017EB" w:rsidRPr="005017EB">
        <w:rPr>
          <w:rFonts w:ascii="宋体" w:hAnsi="宋体" w:hint="eastAsia"/>
          <w:sz w:val="24"/>
          <w:szCs w:val="24"/>
        </w:rPr>
        <w:t>募集资金的存放和使用不存在损害公司利益和股东权益的行为</w:t>
      </w:r>
      <w:r w:rsidR="00A75555" w:rsidRPr="00A75555">
        <w:rPr>
          <w:rFonts w:ascii="宋体" w:hAnsi="宋体" w:hint="eastAsia"/>
          <w:sz w:val="24"/>
          <w:szCs w:val="24"/>
        </w:rPr>
        <w:t>。</w:t>
      </w:r>
      <w:r w:rsidR="006E35FA">
        <w:rPr>
          <w:rFonts w:ascii="宋体" w:hAnsi="宋体" w:hint="eastAsia"/>
          <w:sz w:val="24"/>
          <w:szCs w:val="24"/>
        </w:rPr>
        <w:t>报告期内，</w:t>
      </w:r>
      <w:r w:rsidR="006E35FA" w:rsidRPr="006E35FA">
        <w:rPr>
          <w:rFonts w:ascii="宋体" w:hAnsi="宋体" w:hint="eastAsia"/>
          <w:sz w:val="24"/>
          <w:szCs w:val="24"/>
        </w:rPr>
        <w:t>公司2017年非公开发行股票募集资金已全部使用完毕，募集资金专户已全部注销。</w:t>
      </w:r>
    </w:p>
    <w:p w14:paraId="577F58E6" w14:textId="2F360280" w:rsidR="00E21092" w:rsidRPr="00EF279A" w:rsidRDefault="00DB4DD2" w:rsidP="00B83BAD">
      <w:pPr>
        <w:autoSpaceDE w:val="0"/>
        <w:autoSpaceDN w:val="0"/>
        <w:spacing w:line="360" w:lineRule="auto"/>
        <w:ind w:firstLineChars="200" w:firstLine="480"/>
        <w:textAlignment w:val="baseline"/>
        <w:rPr>
          <w:rFonts w:ascii="宋体" w:hAnsi="宋体" w:hint="eastAsia"/>
          <w:sz w:val="24"/>
          <w:szCs w:val="24"/>
        </w:rPr>
      </w:pPr>
      <w:r w:rsidRPr="00EF279A">
        <w:rPr>
          <w:rFonts w:ascii="宋体" w:hAnsi="宋体"/>
          <w:sz w:val="24"/>
          <w:szCs w:val="24"/>
        </w:rPr>
        <w:t>1</w:t>
      </w:r>
      <w:r w:rsidR="00361C97" w:rsidRPr="00EF279A">
        <w:rPr>
          <w:rFonts w:ascii="宋体" w:hAnsi="宋体"/>
          <w:sz w:val="24"/>
          <w:szCs w:val="24"/>
        </w:rPr>
        <w:t>1</w:t>
      </w:r>
      <w:r w:rsidR="00C8230A">
        <w:rPr>
          <w:rFonts w:ascii="宋体" w:hAnsi="宋体" w:hint="eastAsia"/>
          <w:sz w:val="24"/>
          <w:szCs w:val="24"/>
        </w:rPr>
        <w:t>．</w:t>
      </w:r>
      <w:r w:rsidR="00E21092" w:rsidRPr="00EF279A">
        <w:rPr>
          <w:rFonts w:ascii="宋体" w:hAnsi="宋体" w:hint="eastAsia"/>
          <w:sz w:val="24"/>
          <w:szCs w:val="24"/>
        </w:rPr>
        <w:t>内部审计</w:t>
      </w:r>
    </w:p>
    <w:p w14:paraId="4B8252FC" w14:textId="42B76EF6" w:rsidR="00E85415" w:rsidRPr="00750C33" w:rsidRDefault="00E85415" w:rsidP="00EF279A">
      <w:pPr>
        <w:autoSpaceDE w:val="0"/>
        <w:autoSpaceDN w:val="0"/>
        <w:spacing w:line="360" w:lineRule="auto"/>
        <w:ind w:firstLineChars="200" w:firstLine="480"/>
        <w:textAlignment w:val="baseline"/>
        <w:rPr>
          <w:rFonts w:ascii="宋体" w:hAnsi="宋体" w:hint="eastAsia"/>
          <w:sz w:val="24"/>
          <w:szCs w:val="24"/>
        </w:rPr>
      </w:pPr>
      <w:r w:rsidRPr="00EF279A">
        <w:rPr>
          <w:rFonts w:ascii="宋体" w:hAnsi="宋体" w:hint="eastAsia"/>
          <w:sz w:val="24"/>
          <w:szCs w:val="24"/>
        </w:rPr>
        <w:t>公司董事会下设审</w:t>
      </w:r>
      <w:r w:rsidR="00673121" w:rsidRPr="00EF279A">
        <w:rPr>
          <w:rFonts w:ascii="宋体" w:hAnsi="宋体" w:hint="eastAsia"/>
          <w:sz w:val="24"/>
          <w:szCs w:val="24"/>
        </w:rPr>
        <w:t>计</w:t>
      </w:r>
      <w:r w:rsidR="00673121">
        <w:rPr>
          <w:rFonts w:ascii="宋体" w:hAnsi="宋体" w:hint="eastAsia"/>
          <w:sz w:val="24"/>
          <w:szCs w:val="24"/>
        </w:rPr>
        <w:t>委员会，</w:t>
      </w:r>
      <w:r w:rsidR="00EF279A" w:rsidRPr="00EF279A">
        <w:rPr>
          <w:rFonts w:ascii="宋体" w:hAnsi="宋体" w:hint="eastAsia"/>
          <w:sz w:val="24"/>
          <w:szCs w:val="24"/>
        </w:rPr>
        <w:t>监督公司的内部审计制度及其实施，负责内部审计与外部审计之间的沟通，审查公司内控制度等。</w:t>
      </w:r>
      <w:r w:rsidR="00673121">
        <w:rPr>
          <w:rFonts w:ascii="宋体" w:hAnsi="宋体" w:hint="eastAsia"/>
          <w:sz w:val="24"/>
          <w:szCs w:val="24"/>
        </w:rPr>
        <w:t>公司</w:t>
      </w:r>
      <w:r w:rsidR="00E93DAA">
        <w:rPr>
          <w:rFonts w:ascii="宋体" w:hAnsi="宋体" w:hint="eastAsia"/>
          <w:sz w:val="24"/>
          <w:szCs w:val="24"/>
        </w:rPr>
        <w:t>内部</w:t>
      </w:r>
      <w:r w:rsidR="00673121">
        <w:rPr>
          <w:rFonts w:ascii="宋体" w:hAnsi="宋体" w:hint="eastAsia"/>
          <w:sz w:val="24"/>
          <w:szCs w:val="24"/>
        </w:rPr>
        <w:t>审计部门</w:t>
      </w:r>
      <w:r w:rsidR="00EF279A" w:rsidRPr="00EF279A">
        <w:rPr>
          <w:rFonts w:ascii="宋体" w:hAnsi="宋体" w:hint="eastAsia"/>
          <w:sz w:val="24"/>
          <w:szCs w:val="24"/>
        </w:rPr>
        <w:t>对公司内部控制设计及运行的有效性进行监督检查，</w:t>
      </w:r>
      <w:r w:rsidRPr="00750C33">
        <w:rPr>
          <w:rFonts w:ascii="宋体" w:hAnsi="宋体" w:hint="eastAsia"/>
          <w:sz w:val="24"/>
          <w:szCs w:val="24"/>
        </w:rPr>
        <w:t>接受审计委员会指导和监督，向审计委员会报告公司内部控制的建设与执行情况、内部审计工作情况</w:t>
      </w:r>
      <w:r w:rsidR="00EF279A">
        <w:rPr>
          <w:rFonts w:ascii="宋体" w:hAnsi="宋体" w:hint="eastAsia"/>
          <w:sz w:val="24"/>
          <w:szCs w:val="24"/>
        </w:rPr>
        <w:t>，</w:t>
      </w:r>
      <w:r w:rsidR="00EF279A" w:rsidRPr="00EF279A">
        <w:rPr>
          <w:rFonts w:ascii="宋体" w:hAnsi="宋体" w:hint="eastAsia"/>
          <w:sz w:val="24"/>
          <w:szCs w:val="24"/>
        </w:rPr>
        <w:t>促进公司内部控制工作质量的持续改善与提高，对在</w:t>
      </w:r>
      <w:r w:rsidR="00EF279A">
        <w:rPr>
          <w:rFonts w:ascii="宋体" w:hAnsi="宋体" w:hint="eastAsia"/>
          <w:sz w:val="24"/>
          <w:szCs w:val="24"/>
        </w:rPr>
        <w:t>审计或调查中发现的内部控制缺陷督促相关部门采取积极措施予以整改</w:t>
      </w:r>
      <w:r w:rsidRPr="00750C33">
        <w:rPr>
          <w:rFonts w:ascii="宋体" w:hAnsi="宋体" w:hint="eastAsia"/>
          <w:sz w:val="24"/>
          <w:szCs w:val="24"/>
        </w:rPr>
        <w:t>。审计</w:t>
      </w:r>
      <w:r w:rsidR="00673121">
        <w:rPr>
          <w:rFonts w:ascii="宋体" w:hAnsi="宋体" w:hint="eastAsia"/>
          <w:sz w:val="24"/>
          <w:szCs w:val="24"/>
        </w:rPr>
        <w:t>部门</w:t>
      </w:r>
      <w:r w:rsidRPr="00750C33">
        <w:rPr>
          <w:rFonts w:ascii="宋体" w:hAnsi="宋体" w:hint="eastAsia"/>
          <w:sz w:val="24"/>
          <w:szCs w:val="24"/>
        </w:rPr>
        <w:t>结合本公司实际，确定年度内部审计工作重点，编制年度内部审计项目计划，经批准后实施。</w:t>
      </w:r>
    </w:p>
    <w:p w14:paraId="61B668CF" w14:textId="149CAB50" w:rsidR="00E21092" w:rsidRPr="00750C33" w:rsidRDefault="004B04B7" w:rsidP="00BA6A1A">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hint="eastAsia"/>
          <w:sz w:val="24"/>
          <w:szCs w:val="24"/>
        </w:rPr>
        <w:lastRenderedPageBreak/>
        <w:t>公司</w:t>
      </w:r>
      <w:r w:rsidR="00064AE1" w:rsidRPr="00750C33">
        <w:rPr>
          <w:rFonts w:ascii="宋体" w:hAnsi="宋体" w:hint="eastAsia"/>
          <w:sz w:val="24"/>
          <w:szCs w:val="24"/>
        </w:rPr>
        <w:t>严格遵守</w:t>
      </w:r>
      <w:r w:rsidR="00BA6A1A" w:rsidRPr="00750C33">
        <w:rPr>
          <w:rFonts w:ascii="宋体" w:hAnsi="宋体"/>
          <w:sz w:val="24"/>
          <w:szCs w:val="24"/>
        </w:rPr>
        <w:t>《内部审计</w:t>
      </w:r>
      <w:r w:rsidR="001E7428" w:rsidRPr="00750C33">
        <w:rPr>
          <w:rFonts w:ascii="宋体" w:hAnsi="宋体" w:hint="eastAsia"/>
          <w:sz w:val="24"/>
          <w:szCs w:val="24"/>
        </w:rPr>
        <w:t>管理</w:t>
      </w:r>
      <w:r w:rsidR="00BA6A1A" w:rsidRPr="00750C33">
        <w:rPr>
          <w:rFonts w:ascii="宋体" w:hAnsi="宋体"/>
          <w:sz w:val="24"/>
          <w:szCs w:val="24"/>
        </w:rPr>
        <w:t>制度》</w:t>
      </w:r>
      <w:r w:rsidRPr="00750C33">
        <w:rPr>
          <w:rFonts w:ascii="宋体" w:hAnsi="宋体" w:hint="eastAsia"/>
          <w:sz w:val="24"/>
          <w:szCs w:val="24"/>
        </w:rPr>
        <w:t>，</w:t>
      </w:r>
      <w:r w:rsidR="00BA6A1A" w:rsidRPr="00750C33">
        <w:rPr>
          <w:rFonts w:ascii="宋体" w:hAnsi="宋体"/>
          <w:sz w:val="24"/>
          <w:szCs w:val="24"/>
        </w:rPr>
        <w:t>审计部门在董事会审计委员会的领导下开展工作，</w:t>
      </w:r>
      <w:r w:rsidR="005B60DF" w:rsidRPr="00750C33">
        <w:rPr>
          <w:rFonts w:ascii="宋体" w:hAnsi="宋体" w:hint="eastAsia"/>
          <w:sz w:val="24"/>
          <w:szCs w:val="24"/>
        </w:rPr>
        <w:t>对审计委员会负责，</w:t>
      </w:r>
      <w:r w:rsidR="00BA6A1A" w:rsidRPr="00750C33">
        <w:rPr>
          <w:rFonts w:ascii="宋体" w:hAnsi="宋体"/>
          <w:sz w:val="24"/>
          <w:szCs w:val="24"/>
        </w:rPr>
        <w:t>并向其报告内部审计工作</w:t>
      </w:r>
      <w:r w:rsidR="00E21092" w:rsidRPr="00750C33">
        <w:rPr>
          <w:rFonts w:ascii="宋体" w:hAnsi="宋体"/>
          <w:sz w:val="24"/>
          <w:szCs w:val="24"/>
        </w:rPr>
        <w:t>。审计</w:t>
      </w:r>
      <w:r w:rsidR="00673121">
        <w:rPr>
          <w:rFonts w:ascii="宋体" w:hAnsi="宋体" w:hint="eastAsia"/>
          <w:sz w:val="24"/>
          <w:szCs w:val="24"/>
        </w:rPr>
        <w:t>部门</w:t>
      </w:r>
      <w:r w:rsidR="00E21092" w:rsidRPr="00750C33">
        <w:rPr>
          <w:rFonts w:ascii="宋体" w:hAnsi="宋体"/>
          <w:sz w:val="24"/>
          <w:szCs w:val="24"/>
        </w:rPr>
        <w:t>配有专职审计人员,负责对公司内部机构、子公司财务信息的真实性和完整性、内部控制制度的建立和执行情况等进行审计并提出审计建议。审计</w:t>
      </w:r>
      <w:r w:rsidR="00673121">
        <w:rPr>
          <w:rFonts w:ascii="宋体" w:hAnsi="宋体" w:hint="eastAsia"/>
          <w:sz w:val="24"/>
          <w:szCs w:val="24"/>
        </w:rPr>
        <w:t>部门</w:t>
      </w:r>
      <w:r w:rsidR="00E21092" w:rsidRPr="00750C33">
        <w:rPr>
          <w:rFonts w:ascii="宋体" w:hAnsi="宋体"/>
          <w:sz w:val="24"/>
          <w:szCs w:val="24"/>
        </w:rPr>
        <w:t>独立行使职权,</w:t>
      </w:r>
      <w:r w:rsidR="005B60DF" w:rsidRPr="00750C33">
        <w:rPr>
          <w:rFonts w:ascii="宋体" w:hAnsi="宋体" w:hint="eastAsia"/>
          <w:sz w:val="24"/>
          <w:szCs w:val="24"/>
        </w:rPr>
        <w:t>机构设置、人员配备和工作内容独立，</w:t>
      </w:r>
      <w:r w:rsidR="00E21092" w:rsidRPr="00750C33">
        <w:rPr>
          <w:rFonts w:ascii="宋体" w:hAnsi="宋体"/>
          <w:sz w:val="24"/>
          <w:szCs w:val="24"/>
        </w:rPr>
        <w:t>不受其他部门或个人的干涉</w:t>
      </w:r>
      <w:r w:rsidR="00BA6A1A" w:rsidRPr="00750C33">
        <w:rPr>
          <w:rFonts w:ascii="宋体" w:hAnsi="宋体"/>
          <w:sz w:val="24"/>
          <w:szCs w:val="24"/>
        </w:rPr>
        <w:t>，保证了</w:t>
      </w:r>
      <w:r w:rsidR="008B53BE">
        <w:rPr>
          <w:rFonts w:ascii="宋体" w:hAnsi="宋体" w:hint="eastAsia"/>
          <w:sz w:val="24"/>
          <w:szCs w:val="24"/>
        </w:rPr>
        <w:t>内</w:t>
      </w:r>
      <w:r w:rsidR="008B53BE">
        <w:rPr>
          <w:rFonts w:ascii="宋体" w:hAnsi="宋体"/>
          <w:sz w:val="24"/>
          <w:szCs w:val="24"/>
        </w:rPr>
        <w:t>部</w:t>
      </w:r>
      <w:r w:rsidR="00BA6A1A" w:rsidRPr="00750C33">
        <w:rPr>
          <w:rFonts w:ascii="宋体" w:hAnsi="宋体"/>
          <w:sz w:val="24"/>
          <w:szCs w:val="24"/>
        </w:rPr>
        <w:t>审计的独立性和客观性</w:t>
      </w:r>
      <w:r w:rsidR="00E21092" w:rsidRPr="00750C33">
        <w:rPr>
          <w:rFonts w:ascii="宋体" w:hAnsi="宋体"/>
          <w:sz w:val="24"/>
          <w:szCs w:val="24"/>
        </w:rPr>
        <w:t>。</w:t>
      </w:r>
    </w:p>
    <w:p w14:paraId="2DA7879C" w14:textId="0E28EDAA" w:rsidR="003C3F99" w:rsidRPr="00B1206B" w:rsidRDefault="00377CC1" w:rsidP="00B83BAD">
      <w:pPr>
        <w:autoSpaceDE w:val="0"/>
        <w:autoSpaceDN w:val="0"/>
        <w:spacing w:line="360" w:lineRule="auto"/>
        <w:ind w:firstLineChars="200" w:firstLine="480"/>
        <w:textAlignment w:val="baseline"/>
        <w:rPr>
          <w:rFonts w:ascii="宋体" w:hAnsi="宋体" w:hint="eastAsia"/>
          <w:sz w:val="24"/>
          <w:szCs w:val="24"/>
        </w:rPr>
      </w:pPr>
      <w:r w:rsidRPr="00B1206B">
        <w:rPr>
          <w:rFonts w:ascii="宋体" w:hAnsi="宋体" w:hint="eastAsia"/>
          <w:sz w:val="24"/>
          <w:szCs w:val="24"/>
        </w:rPr>
        <w:t>1</w:t>
      </w:r>
      <w:r w:rsidR="00DB4DD2" w:rsidRPr="00B1206B">
        <w:rPr>
          <w:rFonts w:ascii="宋体" w:hAnsi="宋体"/>
          <w:sz w:val="24"/>
          <w:szCs w:val="24"/>
        </w:rPr>
        <w:t>2</w:t>
      </w:r>
      <w:r w:rsidR="00C8230A">
        <w:rPr>
          <w:rFonts w:ascii="宋体" w:hAnsi="宋体" w:hint="eastAsia"/>
          <w:sz w:val="24"/>
          <w:szCs w:val="24"/>
        </w:rPr>
        <w:t>．</w:t>
      </w:r>
      <w:r w:rsidR="003C3F99" w:rsidRPr="00B1206B">
        <w:rPr>
          <w:rFonts w:ascii="宋体" w:hAnsi="宋体" w:hint="eastAsia"/>
          <w:sz w:val="24"/>
          <w:szCs w:val="24"/>
        </w:rPr>
        <w:t>财务</w:t>
      </w:r>
      <w:r w:rsidR="008B53BE" w:rsidRPr="00B1206B">
        <w:rPr>
          <w:rFonts w:ascii="宋体" w:hAnsi="宋体" w:hint="eastAsia"/>
          <w:sz w:val="24"/>
          <w:szCs w:val="24"/>
        </w:rPr>
        <w:t>管理</w:t>
      </w:r>
    </w:p>
    <w:p w14:paraId="61B0A0AF" w14:textId="1BAE67B0" w:rsidR="00D7026C" w:rsidRPr="00750C33" w:rsidRDefault="00B1206B" w:rsidP="00B1206B">
      <w:pPr>
        <w:autoSpaceDE w:val="0"/>
        <w:autoSpaceDN w:val="0"/>
        <w:spacing w:line="360" w:lineRule="auto"/>
        <w:ind w:firstLineChars="200" w:firstLine="480"/>
        <w:textAlignment w:val="baseline"/>
        <w:rPr>
          <w:rFonts w:ascii="宋体" w:hAnsi="宋体" w:hint="eastAsia"/>
          <w:sz w:val="24"/>
          <w:szCs w:val="24"/>
        </w:rPr>
      </w:pPr>
      <w:r w:rsidRPr="00B1206B">
        <w:rPr>
          <w:rFonts w:ascii="宋体" w:hAnsi="宋体" w:hint="eastAsia"/>
          <w:sz w:val="24"/>
          <w:szCs w:val="24"/>
        </w:rPr>
        <w:t>公司</w:t>
      </w:r>
      <w:r>
        <w:rPr>
          <w:rFonts w:ascii="宋体" w:hAnsi="宋体" w:hint="eastAsia"/>
          <w:sz w:val="24"/>
          <w:szCs w:val="24"/>
        </w:rPr>
        <w:t>拥有</w:t>
      </w:r>
      <w:r w:rsidRPr="00B1206B">
        <w:rPr>
          <w:rFonts w:ascii="宋体" w:hAnsi="宋体" w:hint="eastAsia"/>
          <w:sz w:val="24"/>
          <w:szCs w:val="24"/>
        </w:rPr>
        <w:t>独立的财务部门，对财务管理和会计核算工作进行了精细的岗位划分和职责权限设定，制订了适合公司的会计制度和财务管理制度，并配备了相应的人员以保证财务会计工作的顺利进行。财务部门人员分工明确，实行岗位责任制，在财务操作中，批准、执行和记录职能分离，以确保各岗位之间的相互监督和制约。</w:t>
      </w:r>
      <w:r w:rsidR="00D7026C" w:rsidRPr="00750C33">
        <w:rPr>
          <w:rFonts w:ascii="宋体" w:hAnsi="宋体" w:hint="eastAsia"/>
          <w:sz w:val="24"/>
          <w:szCs w:val="24"/>
        </w:rPr>
        <w:t>公司财务部定期取得各控股子公司的月度、季度、半年度及年度财务报告。</w:t>
      </w:r>
    </w:p>
    <w:p w14:paraId="3228A3A0" w14:textId="7A6A329B" w:rsidR="008B53BE" w:rsidRPr="00EF279A" w:rsidRDefault="008B53BE" w:rsidP="00B73829">
      <w:pPr>
        <w:autoSpaceDE w:val="0"/>
        <w:autoSpaceDN w:val="0"/>
        <w:spacing w:line="360" w:lineRule="auto"/>
        <w:ind w:firstLineChars="200" w:firstLine="480"/>
        <w:textAlignment w:val="baseline"/>
        <w:rPr>
          <w:rFonts w:ascii="宋体" w:hAnsi="宋体" w:hint="eastAsia"/>
          <w:sz w:val="24"/>
          <w:szCs w:val="24"/>
        </w:rPr>
      </w:pPr>
      <w:r w:rsidRPr="00EF279A">
        <w:rPr>
          <w:rFonts w:ascii="宋体" w:hAnsi="宋体" w:hint="eastAsia"/>
          <w:sz w:val="24"/>
          <w:szCs w:val="24"/>
        </w:rPr>
        <w:t>1</w:t>
      </w:r>
      <w:r w:rsidRPr="00EF279A">
        <w:rPr>
          <w:rFonts w:ascii="宋体" w:hAnsi="宋体"/>
          <w:sz w:val="24"/>
          <w:szCs w:val="24"/>
        </w:rPr>
        <w:t>3</w:t>
      </w:r>
      <w:r w:rsidR="00C8230A">
        <w:rPr>
          <w:rFonts w:ascii="宋体" w:hAnsi="宋体" w:hint="eastAsia"/>
          <w:sz w:val="24"/>
          <w:szCs w:val="24"/>
        </w:rPr>
        <w:t>．</w:t>
      </w:r>
      <w:r w:rsidRPr="00EF279A">
        <w:rPr>
          <w:rFonts w:ascii="宋体" w:hAnsi="宋体" w:hint="eastAsia"/>
          <w:sz w:val="24"/>
          <w:szCs w:val="24"/>
        </w:rPr>
        <w:t xml:space="preserve">生产经营 </w:t>
      </w:r>
    </w:p>
    <w:p w14:paraId="47F544CE" w14:textId="7745F515" w:rsidR="008B53BE" w:rsidRDefault="00EF279A" w:rsidP="00EF279A">
      <w:pPr>
        <w:autoSpaceDE w:val="0"/>
        <w:autoSpaceDN w:val="0"/>
        <w:spacing w:line="360" w:lineRule="auto"/>
        <w:ind w:firstLineChars="200" w:firstLine="480"/>
        <w:textAlignment w:val="baseline"/>
        <w:rPr>
          <w:rFonts w:ascii="宋体" w:hAnsi="宋体" w:hint="eastAsia"/>
          <w:sz w:val="24"/>
          <w:szCs w:val="24"/>
        </w:rPr>
      </w:pPr>
      <w:r w:rsidRPr="00EF279A">
        <w:rPr>
          <w:rFonts w:ascii="宋体" w:hAnsi="宋体" w:hint="eastAsia"/>
          <w:sz w:val="24"/>
          <w:szCs w:val="24"/>
        </w:rPr>
        <w:t>公司在生产计划管理、生产准备、生产组织管理、生产成本控制、生产统计管理、生产过程的管控、产品质量等方面制定了相关制度并得到了有效执行，以确保各个生产环节彼此协调运行，在有效利用企业的制造资源，完成生产计划的同时，不断提高经济效益和与行业竞争力</w:t>
      </w:r>
      <w:r>
        <w:rPr>
          <w:rFonts w:ascii="宋体" w:hAnsi="宋体" w:hint="eastAsia"/>
          <w:sz w:val="24"/>
          <w:szCs w:val="24"/>
        </w:rPr>
        <w:t>。</w:t>
      </w:r>
      <w:r w:rsidR="008B53BE" w:rsidRPr="00C47723">
        <w:rPr>
          <w:rFonts w:ascii="宋体" w:hAnsi="宋体" w:hint="eastAsia"/>
          <w:sz w:val="24"/>
          <w:szCs w:val="24"/>
        </w:rPr>
        <w:t>公司严格按照</w:t>
      </w:r>
      <w:r w:rsidR="008B53BE" w:rsidRPr="00C47723">
        <w:rPr>
          <w:rFonts w:ascii="宋体" w:hAnsi="宋体"/>
          <w:sz w:val="24"/>
          <w:szCs w:val="24"/>
        </w:rPr>
        <w:t xml:space="preserve"> ISO9001 </w:t>
      </w:r>
      <w:r w:rsidR="008B53BE" w:rsidRPr="00C47723">
        <w:rPr>
          <w:rFonts w:ascii="宋体" w:hAnsi="宋体" w:hint="eastAsia"/>
          <w:sz w:val="24"/>
          <w:szCs w:val="24"/>
        </w:rPr>
        <w:t>质量管理体系、</w:t>
      </w:r>
      <w:r w:rsidR="008B53BE" w:rsidRPr="00C47723">
        <w:rPr>
          <w:rFonts w:ascii="宋体" w:hAnsi="宋体"/>
          <w:sz w:val="24"/>
          <w:szCs w:val="24"/>
        </w:rPr>
        <w:t xml:space="preserve"> ISO14001 </w:t>
      </w:r>
      <w:r w:rsidR="008B53BE" w:rsidRPr="00C47723">
        <w:rPr>
          <w:rFonts w:ascii="宋体" w:hAnsi="宋体" w:hint="eastAsia"/>
          <w:sz w:val="24"/>
          <w:szCs w:val="24"/>
        </w:rPr>
        <w:t>环境管理体系、</w:t>
      </w:r>
      <w:r w:rsidR="00111BCA">
        <w:rPr>
          <w:rFonts w:ascii="宋体" w:hAnsi="宋体" w:hint="eastAsia"/>
          <w:sz w:val="24"/>
          <w:szCs w:val="24"/>
        </w:rPr>
        <w:t>G</w:t>
      </w:r>
      <w:r w:rsidR="00111BCA">
        <w:rPr>
          <w:rFonts w:ascii="宋体" w:hAnsi="宋体"/>
          <w:sz w:val="24"/>
          <w:szCs w:val="24"/>
        </w:rPr>
        <w:t>B/T45001-2020/</w:t>
      </w:r>
      <w:r w:rsidR="008B53BE" w:rsidRPr="00C47723">
        <w:rPr>
          <w:rFonts w:ascii="宋体" w:hAnsi="宋体"/>
          <w:sz w:val="24"/>
          <w:szCs w:val="24"/>
        </w:rPr>
        <w:t>ISO45001</w:t>
      </w:r>
      <w:r w:rsidR="00111BCA">
        <w:rPr>
          <w:rFonts w:ascii="宋体" w:hAnsi="宋体"/>
          <w:sz w:val="24"/>
          <w:szCs w:val="24"/>
        </w:rPr>
        <w:t>:2008</w:t>
      </w:r>
      <w:r w:rsidR="008B53BE" w:rsidRPr="00C47723">
        <w:rPr>
          <w:rFonts w:ascii="宋体" w:hAnsi="宋体"/>
          <w:sz w:val="24"/>
          <w:szCs w:val="24"/>
        </w:rPr>
        <w:t xml:space="preserve"> </w:t>
      </w:r>
      <w:r w:rsidR="008B53BE" w:rsidRPr="00C47723">
        <w:rPr>
          <w:rFonts w:ascii="宋体" w:hAnsi="宋体" w:hint="eastAsia"/>
          <w:sz w:val="24"/>
          <w:szCs w:val="24"/>
        </w:rPr>
        <w:t>职业健康安全管理体系、</w:t>
      </w:r>
      <w:r w:rsidR="00111BCA" w:rsidRPr="00111BCA">
        <w:rPr>
          <w:rFonts w:ascii="宋体" w:hAnsi="宋体"/>
          <w:sz w:val="24"/>
          <w:szCs w:val="24"/>
        </w:rPr>
        <w:t>GB/T2331-2020/ISO50001:2018</w:t>
      </w:r>
      <w:r w:rsidR="000E2BF9">
        <w:rPr>
          <w:rFonts w:ascii="宋体" w:hAnsi="宋体" w:hint="eastAsia"/>
          <w:sz w:val="24"/>
          <w:szCs w:val="24"/>
        </w:rPr>
        <w:t>及</w:t>
      </w:r>
      <w:r w:rsidR="00111BCA" w:rsidRPr="00111BCA">
        <w:rPr>
          <w:rFonts w:ascii="宋体" w:hAnsi="宋体"/>
          <w:sz w:val="24"/>
          <w:szCs w:val="24"/>
        </w:rPr>
        <w:t>RB/T101-2013</w:t>
      </w:r>
      <w:r w:rsidR="008B53BE" w:rsidRPr="00C47723">
        <w:rPr>
          <w:rFonts w:ascii="宋体" w:hAnsi="宋体" w:hint="eastAsia"/>
          <w:sz w:val="24"/>
          <w:szCs w:val="24"/>
        </w:rPr>
        <w:t>能源管理</w:t>
      </w:r>
      <w:r w:rsidR="008B53BE" w:rsidRPr="008B53BE">
        <w:rPr>
          <w:rFonts w:ascii="宋体" w:hAnsi="宋体"/>
          <w:sz w:val="24"/>
          <w:szCs w:val="24"/>
        </w:rPr>
        <w:t>体系</w:t>
      </w:r>
      <w:r w:rsidR="008B53BE" w:rsidRPr="00C47723">
        <w:rPr>
          <w:rFonts w:ascii="宋体" w:hAnsi="宋体" w:hint="eastAsia"/>
          <w:sz w:val="24"/>
          <w:szCs w:val="24"/>
        </w:rPr>
        <w:t>、GB/T23001</w:t>
      </w:r>
      <w:r w:rsidR="00111BCA">
        <w:rPr>
          <w:rFonts w:ascii="宋体" w:hAnsi="宋体"/>
          <w:sz w:val="24"/>
          <w:szCs w:val="24"/>
        </w:rPr>
        <w:t>-2017</w:t>
      </w:r>
      <w:r w:rsidR="00111BCA">
        <w:rPr>
          <w:rFonts w:ascii="宋体" w:hAnsi="宋体" w:hint="eastAsia"/>
          <w:sz w:val="24"/>
          <w:szCs w:val="24"/>
        </w:rPr>
        <w:t>及</w:t>
      </w:r>
      <w:r w:rsidR="00111BCA" w:rsidRPr="00111BCA">
        <w:rPr>
          <w:rFonts w:ascii="宋体" w:hAnsi="宋体"/>
          <w:sz w:val="24"/>
          <w:szCs w:val="24"/>
        </w:rPr>
        <w:t>GB/T23006-2002</w:t>
      </w:r>
      <w:r w:rsidR="008B53BE" w:rsidRPr="00C47723">
        <w:rPr>
          <w:rFonts w:ascii="宋体" w:hAnsi="宋体" w:hint="eastAsia"/>
          <w:sz w:val="24"/>
          <w:szCs w:val="24"/>
        </w:rPr>
        <w:t>两化融合、GB/T29490</w:t>
      </w:r>
      <w:r w:rsidR="00111BCA">
        <w:rPr>
          <w:rFonts w:ascii="宋体" w:hAnsi="宋体"/>
          <w:sz w:val="24"/>
          <w:szCs w:val="24"/>
        </w:rPr>
        <w:t>-2013</w:t>
      </w:r>
      <w:r w:rsidR="008B53BE" w:rsidRPr="00C47723">
        <w:rPr>
          <w:rFonts w:ascii="宋体" w:hAnsi="宋体"/>
          <w:sz w:val="24"/>
          <w:szCs w:val="24"/>
        </w:rPr>
        <w:t xml:space="preserve"> </w:t>
      </w:r>
      <w:r w:rsidR="008B53BE" w:rsidRPr="00C47723">
        <w:rPr>
          <w:rFonts w:ascii="宋体" w:hAnsi="宋体" w:hint="eastAsia"/>
          <w:sz w:val="24"/>
          <w:szCs w:val="24"/>
        </w:rPr>
        <w:t>知识产权等管理体系的要求，结合公司实际，建立了质量、环境、职业健康安全、能源、两化融合、知识产权管理体系。公司内各部门严格按照各体系的要求进行各项生产活动，职责明确，做到事前有计划、事中有控制、事后有记录、有评估，实现持续改进。</w:t>
      </w:r>
    </w:p>
    <w:p w14:paraId="5124B3FC" w14:textId="2DCE8759" w:rsidR="005C4C9C" w:rsidRPr="00750C33" w:rsidRDefault="005C4C9C" w:rsidP="003F76DD">
      <w:pPr>
        <w:autoSpaceDE w:val="0"/>
        <w:autoSpaceDN w:val="0"/>
        <w:spacing w:line="360" w:lineRule="auto"/>
        <w:ind w:firstLineChars="200" w:firstLine="480"/>
        <w:textAlignment w:val="baseline"/>
        <w:rPr>
          <w:rFonts w:ascii="宋体" w:hAnsi="宋体" w:hint="eastAsia"/>
          <w:sz w:val="24"/>
          <w:szCs w:val="24"/>
        </w:rPr>
      </w:pPr>
      <w:r w:rsidRPr="00663F1D">
        <w:rPr>
          <w:rFonts w:ascii="宋体" w:hAnsi="宋体" w:hint="eastAsia"/>
          <w:sz w:val="24"/>
          <w:szCs w:val="24"/>
        </w:rPr>
        <w:t>1</w:t>
      </w:r>
      <w:r w:rsidR="00361C97" w:rsidRPr="00663F1D">
        <w:rPr>
          <w:rFonts w:ascii="宋体" w:hAnsi="宋体"/>
          <w:sz w:val="24"/>
          <w:szCs w:val="24"/>
        </w:rPr>
        <w:t>4</w:t>
      </w:r>
      <w:r w:rsidR="00C8230A">
        <w:rPr>
          <w:rFonts w:ascii="宋体" w:hAnsi="宋体" w:hint="eastAsia"/>
          <w:sz w:val="24"/>
          <w:szCs w:val="24"/>
        </w:rPr>
        <w:t>．</w:t>
      </w:r>
      <w:r w:rsidRPr="00663F1D">
        <w:rPr>
          <w:rFonts w:ascii="宋体" w:hAnsi="宋体" w:hint="eastAsia"/>
          <w:sz w:val="24"/>
          <w:szCs w:val="24"/>
        </w:rPr>
        <w:t>信息系统</w:t>
      </w:r>
    </w:p>
    <w:p w14:paraId="0819A85C" w14:textId="4125D5F9" w:rsidR="00A75061" w:rsidRDefault="000D44E1" w:rsidP="00663F1D">
      <w:pPr>
        <w:autoSpaceDE w:val="0"/>
        <w:autoSpaceDN w:val="0"/>
        <w:spacing w:line="360" w:lineRule="auto"/>
        <w:ind w:firstLineChars="200" w:firstLine="480"/>
        <w:textAlignment w:val="baseline"/>
        <w:rPr>
          <w:rFonts w:ascii="宋体" w:hAnsi="宋体" w:hint="eastAsia"/>
          <w:sz w:val="24"/>
          <w:szCs w:val="24"/>
        </w:rPr>
      </w:pPr>
      <w:r w:rsidRPr="000D44E1">
        <w:rPr>
          <w:rFonts w:ascii="宋体" w:hAnsi="宋体" w:hint="eastAsia"/>
          <w:sz w:val="24"/>
          <w:szCs w:val="24"/>
        </w:rPr>
        <w:t>公司重视信息系统在信息沟通中的作用，</w:t>
      </w:r>
      <w:r w:rsidR="00663F1D">
        <w:rPr>
          <w:rFonts w:ascii="宋体" w:hAnsi="宋体" w:hint="eastAsia"/>
          <w:sz w:val="24"/>
          <w:szCs w:val="24"/>
        </w:rPr>
        <w:t>建立了比较完善的信息系统。公司</w:t>
      </w:r>
      <w:r w:rsidR="00663F1D" w:rsidRPr="00750C33">
        <w:rPr>
          <w:rFonts w:ascii="宋体" w:hAnsi="宋体" w:hint="eastAsia"/>
          <w:sz w:val="24"/>
          <w:szCs w:val="24"/>
        </w:rPr>
        <w:t>根据</w:t>
      </w:r>
      <w:r w:rsidR="00663F1D" w:rsidRPr="00750C33">
        <w:rPr>
          <w:rFonts w:ascii="宋体" w:hAnsi="宋体"/>
          <w:sz w:val="24"/>
          <w:szCs w:val="24"/>
        </w:rPr>
        <w:t>《</w:t>
      </w:r>
      <w:r w:rsidR="00663F1D" w:rsidRPr="00750C33">
        <w:rPr>
          <w:rFonts w:ascii="宋体" w:hAnsi="宋体" w:hint="eastAsia"/>
          <w:sz w:val="24"/>
          <w:szCs w:val="24"/>
        </w:rPr>
        <w:t>信息系统管理制度</w:t>
      </w:r>
      <w:r w:rsidR="00663F1D" w:rsidRPr="00750C33">
        <w:rPr>
          <w:rFonts w:ascii="宋体" w:hAnsi="宋体"/>
          <w:sz w:val="24"/>
          <w:szCs w:val="24"/>
        </w:rPr>
        <w:t>》</w:t>
      </w:r>
      <w:r w:rsidR="00663F1D" w:rsidRPr="00750C33">
        <w:rPr>
          <w:rFonts w:ascii="宋体" w:hAnsi="宋体" w:hint="eastAsia"/>
          <w:sz w:val="24"/>
          <w:szCs w:val="24"/>
        </w:rPr>
        <w:t>《网络信息管理规定》《信息化设备管理制度》等制度</w:t>
      </w:r>
      <w:r w:rsidR="00663F1D">
        <w:rPr>
          <w:rFonts w:ascii="宋体" w:hAnsi="宋体" w:hint="eastAsia"/>
          <w:sz w:val="24"/>
          <w:szCs w:val="24"/>
        </w:rPr>
        <w:t>，</w:t>
      </w:r>
      <w:r w:rsidRPr="000D44E1">
        <w:rPr>
          <w:rFonts w:ascii="宋体" w:hAnsi="宋体" w:hint="eastAsia"/>
          <w:sz w:val="24"/>
          <w:szCs w:val="24"/>
        </w:rPr>
        <w:t>加强了对</w:t>
      </w:r>
      <w:r w:rsidR="00663F1D" w:rsidRPr="00750C33">
        <w:rPr>
          <w:rFonts w:ascii="宋体" w:hAnsi="宋体" w:hint="eastAsia"/>
          <w:sz w:val="24"/>
          <w:szCs w:val="24"/>
        </w:rPr>
        <w:t>各应用系统的</w:t>
      </w:r>
      <w:r w:rsidR="00663F1D">
        <w:rPr>
          <w:rFonts w:ascii="宋体" w:hAnsi="宋体" w:hint="eastAsia"/>
          <w:sz w:val="24"/>
          <w:szCs w:val="24"/>
        </w:rPr>
        <w:t>开发</w:t>
      </w:r>
      <w:r w:rsidR="00663F1D" w:rsidRPr="00750C33">
        <w:rPr>
          <w:rFonts w:ascii="宋体" w:hAnsi="宋体" w:hint="eastAsia"/>
          <w:sz w:val="24"/>
          <w:szCs w:val="24"/>
        </w:rPr>
        <w:t>以及计算机使用、维护、监督检查、网络使用、数据信息资料安全等方面的管理内容</w:t>
      </w:r>
      <w:r w:rsidR="00663F1D">
        <w:rPr>
          <w:rFonts w:ascii="宋体" w:hAnsi="宋体" w:hint="eastAsia"/>
          <w:sz w:val="24"/>
          <w:szCs w:val="24"/>
        </w:rPr>
        <w:t>。</w:t>
      </w:r>
      <w:r w:rsidR="00663F1D" w:rsidRPr="00750C33">
        <w:rPr>
          <w:rFonts w:ascii="宋体" w:hAnsi="宋体"/>
          <w:sz w:val="24"/>
          <w:szCs w:val="24"/>
        </w:rPr>
        <w:t>公司设置</w:t>
      </w:r>
      <w:r w:rsidR="00663F1D" w:rsidRPr="00750C33">
        <w:rPr>
          <w:rFonts w:ascii="宋体" w:hAnsi="宋体" w:hint="eastAsia"/>
          <w:sz w:val="24"/>
          <w:szCs w:val="24"/>
        </w:rPr>
        <w:t>网络</w:t>
      </w:r>
      <w:r w:rsidR="00663F1D" w:rsidRPr="00750C33">
        <w:rPr>
          <w:rFonts w:ascii="宋体" w:hAnsi="宋体"/>
          <w:sz w:val="24"/>
          <w:szCs w:val="24"/>
        </w:rPr>
        <w:t>中心负责信息系统</w:t>
      </w:r>
      <w:r w:rsidR="00663F1D">
        <w:rPr>
          <w:rFonts w:ascii="宋体" w:hAnsi="宋体" w:hint="eastAsia"/>
          <w:sz w:val="24"/>
          <w:szCs w:val="24"/>
        </w:rPr>
        <w:t>的开发与维护，</w:t>
      </w:r>
      <w:r w:rsidRPr="000D44E1">
        <w:rPr>
          <w:rFonts w:ascii="宋体" w:hAnsi="宋体" w:hint="eastAsia"/>
          <w:sz w:val="24"/>
          <w:szCs w:val="24"/>
        </w:rPr>
        <w:lastRenderedPageBreak/>
        <w:t>定期更新升级安全软件，严控内部通讯录等敏感资料外泄</w:t>
      </w:r>
      <w:r w:rsidR="00663F1D">
        <w:rPr>
          <w:rFonts w:ascii="宋体" w:hAnsi="宋体" w:hint="eastAsia"/>
          <w:sz w:val="24"/>
          <w:szCs w:val="24"/>
        </w:rPr>
        <w:t>，</w:t>
      </w:r>
      <w:r w:rsidRPr="000D44E1">
        <w:rPr>
          <w:rFonts w:ascii="宋体" w:hAnsi="宋体" w:hint="eastAsia"/>
          <w:sz w:val="24"/>
          <w:szCs w:val="24"/>
        </w:rPr>
        <w:t>增强电子邮箱密码安全系数并定期更换密码等网络安全方面的控制，保证信息系统安全稳定运行。</w:t>
      </w:r>
      <w:r w:rsidR="00663F1D" w:rsidRPr="00663F1D">
        <w:rPr>
          <w:rFonts w:ascii="宋体" w:hAnsi="宋体" w:hint="eastAsia"/>
          <w:sz w:val="24"/>
          <w:szCs w:val="24"/>
        </w:rPr>
        <w:t>公司一直以来积极响应数字化转型的潮流，对信息技术进行了深入的探索和应用</w:t>
      </w:r>
      <w:r w:rsidR="00663F1D">
        <w:rPr>
          <w:rFonts w:ascii="宋体" w:hAnsi="宋体" w:hint="eastAsia"/>
          <w:sz w:val="24"/>
          <w:szCs w:val="24"/>
        </w:rPr>
        <w:t>，</w:t>
      </w:r>
      <w:r w:rsidR="00B73829" w:rsidRPr="00750C33">
        <w:rPr>
          <w:rFonts w:ascii="宋体" w:hAnsi="宋体" w:hint="eastAsia"/>
          <w:sz w:val="24"/>
          <w:szCs w:val="24"/>
        </w:rPr>
        <w:t>覆盖公司经营管理的主要领域，包括财务软件、办公自动化系统等多个应用系统，实现管理自动化和管控一体化，提高了公司运行效率和准确性，并在内部控制中发挥重要作用。</w:t>
      </w:r>
    </w:p>
    <w:p w14:paraId="5263B3B1" w14:textId="658268D2" w:rsidR="00D81821" w:rsidRPr="00663F1D" w:rsidRDefault="00D81821" w:rsidP="00B73829">
      <w:pPr>
        <w:autoSpaceDE w:val="0"/>
        <w:autoSpaceDN w:val="0"/>
        <w:spacing w:line="360" w:lineRule="auto"/>
        <w:ind w:firstLineChars="200" w:firstLine="480"/>
        <w:textAlignment w:val="baseline"/>
        <w:rPr>
          <w:rFonts w:ascii="宋体" w:hAnsi="宋体" w:hint="eastAsia"/>
          <w:sz w:val="24"/>
          <w:szCs w:val="24"/>
        </w:rPr>
      </w:pPr>
      <w:r w:rsidRPr="00663F1D">
        <w:rPr>
          <w:rFonts w:ascii="宋体" w:hAnsi="宋体"/>
          <w:sz w:val="24"/>
          <w:szCs w:val="24"/>
        </w:rPr>
        <w:t>15</w:t>
      </w:r>
      <w:r w:rsidR="00C8230A">
        <w:rPr>
          <w:rFonts w:ascii="宋体" w:hAnsi="宋体" w:hint="eastAsia"/>
          <w:sz w:val="24"/>
          <w:szCs w:val="24"/>
        </w:rPr>
        <w:t>．</w:t>
      </w:r>
      <w:r w:rsidRPr="00663F1D">
        <w:rPr>
          <w:rFonts w:ascii="宋体" w:hAnsi="宋体" w:hint="eastAsia"/>
          <w:sz w:val="24"/>
          <w:szCs w:val="24"/>
        </w:rPr>
        <w:t>信息披露</w:t>
      </w:r>
    </w:p>
    <w:p w14:paraId="5E599103" w14:textId="2C9B7A6C" w:rsidR="00D81821" w:rsidRPr="00D81821" w:rsidRDefault="00D77C0D" w:rsidP="0076043E">
      <w:pPr>
        <w:autoSpaceDE w:val="0"/>
        <w:autoSpaceDN w:val="0"/>
        <w:spacing w:line="360" w:lineRule="auto"/>
        <w:ind w:firstLineChars="200" w:firstLine="480"/>
        <w:textAlignment w:val="baseline"/>
        <w:rPr>
          <w:rFonts w:ascii="宋体" w:hAnsi="宋体" w:hint="eastAsia"/>
          <w:sz w:val="24"/>
          <w:szCs w:val="24"/>
        </w:rPr>
      </w:pPr>
      <w:r w:rsidRPr="00663F1D">
        <w:rPr>
          <w:rFonts w:ascii="宋体" w:hAnsi="宋体" w:hint="eastAsia"/>
          <w:sz w:val="24"/>
          <w:szCs w:val="24"/>
        </w:rPr>
        <w:t>报告期内，公司严</w:t>
      </w:r>
      <w:r w:rsidRPr="00D77C0D">
        <w:rPr>
          <w:rFonts w:ascii="宋体" w:hAnsi="宋体" w:hint="eastAsia"/>
          <w:sz w:val="24"/>
          <w:szCs w:val="24"/>
        </w:rPr>
        <w:t>格遵守《公司法》《公司章程》《信息披露事务管理制度》等要求，认真履行信息披露义务，指定董事会秘书负责组织和协调公司信息披露事务，促进规范公司信息披露行为。同时高度重视内幕信息管理，加强内幕信息保密工作，严格遵照相关法律法规指引及公司《内幕信息知情人登记管理办法》，坚持“一事一记”原则，及时做好每次定期报告与重大事项保密义务通知，建立内幕信息知情人档案并报送深交所，同时完整保存记录于公司董事会办公室。</w:t>
      </w:r>
      <w:r w:rsidR="0076043E">
        <w:rPr>
          <w:rFonts w:ascii="宋体" w:hAnsi="宋体" w:hint="eastAsia"/>
          <w:sz w:val="24"/>
          <w:szCs w:val="24"/>
        </w:rPr>
        <w:t>建立《</w:t>
      </w:r>
      <w:r w:rsidR="0076043E" w:rsidRPr="0076043E">
        <w:rPr>
          <w:rFonts w:ascii="宋体" w:hAnsi="宋体" w:hint="eastAsia"/>
          <w:sz w:val="24"/>
          <w:szCs w:val="24"/>
        </w:rPr>
        <w:t>舆情管理流程</w:t>
      </w:r>
      <w:r w:rsidR="0076043E">
        <w:rPr>
          <w:rFonts w:ascii="宋体" w:hAnsi="宋体" w:hint="eastAsia"/>
          <w:sz w:val="24"/>
          <w:szCs w:val="24"/>
        </w:rPr>
        <w:t>》，针对</w:t>
      </w:r>
      <w:r w:rsidR="0076043E" w:rsidRPr="0076043E">
        <w:rPr>
          <w:rFonts w:ascii="宋体" w:hAnsi="宋体" w:hint="eastAsia"/>
          <w:sz w:val="24"/>
          <w:szCs w:val="24"/>
        </w:rPr>
        <w:t>各类舆情建立快速反应和应急处置机制，及时、妥善处理各类舆情对公司股价、公司商业信誉及正常生产经营活动造成的影响，切实保护投资者合法权益。</w:t>
      </w:r>
      <w:r w:rsidRPr="00D77C0D">
        <w:rPr>
          <w:rFonts w:ascii="宋体" w:hAnsi="宋体" w:hint="eastAsia"/>
          <w:sz w:val="24"/>
          <w:szCs w:val="24"/>
        </w:rPr>
        <w:t>对公司的经营管理情况和对公司产生重大影响的事项进行真实、完整、及时、准确、简明清晰、通俗易懂的披露，确保所有股东平等地获得信息，并做好协调公司与投资者的关系工作。</w:t>
      </w:r>
      <w:r w:rsidR="006E35FA" w:rsidRPr="00D77C0D">
        <w:rPr>
          <w:rFonts w:ascii="宋体" w:hAnsi="宋体" w:hint="eastAsia"/>
          <w:sz w:val="24"/>
          <w:szCs w:val="24"/>
        </w:rPr>
        <w:t>报告期内，公司共</w:t>
      </w:r>
      <w:r w:rsidR="005666CC" w:rsidRPr="005666CC">
        <w:rPr>
          <w:rFonts w:ascii="宋体" w:hAnsi="宋体" w:hint="eastAsia"/>
          <w:sz w:val="24"/>
          <w:szCs w:val="24"/>
        </w:rPr>
        <w:t>披露了4份定期报告和</w:t>
      </w:r>
      <w:r w:rsidR="005666CC">
        <w:rPr>
          <w:rFonts w:ascii="宋体" w:hAnsi="宋体" w:hint="eastAsia"/>
          <w:sz w:val="24"/>
          <w:szCs w:val="24"/>
        </w:rPr>
        <w:t>187</w:t>
      </w:r>
      <w:r w:rsidR="005666CC" w:rsidRPr="005666CC">
        <w:rPr>
          <w:rFonts w:ascii="宋体" w:hAnsi="宋体" w:hint="eastAsia"/>
          <w:sz w:val="24"/>
          <w:szCs w:val="24"/>
        </w:rPr>
        <w:t>份临时公告及上网文件</w:t>
      </w:r>
      <w:r w:rsidR="006E35FA" w:rsidRPr="00D77C0D">
        <w:rPr>
          <w:rFonts w:ascii="宋体" w:hAnsi="宋体" w:hint="eastAsia"/>
          <w:sz w:val="24"/>
          <w:szCs w:val="24"/>
        </w:rPr>
        <w:t>，</w:t>
      </w:r>
      <w:r w:rsidR="006E35FA" w:rsidRPr="006E35FA">
        <w:rPr>
          <w:rFonts w:ascii="宋体" w:hAnsi="宋体" w:hint="eastAsia"/>
          <w:sz w:val="24"/>
          <w:szCs w:val="24"/>
        </w:rPr>
        <w:t>公司选择《证券时报》《证券日报》《上海证券报》和巨潮资讯网作为信息披露的渠道，</w:t>
      </w:r>
      <w:r w:rsidRPr="00D77C0D">
        <w:rPr>
          <w:rFonts w:ascii="宋体" w:hAnsi="宋体" w:hint="eastAsia"/>
          <w:sz w:val="24"/>
          <w:szCs w:val="24"/>
        </w:rPr>
        <w:t>保证信息公开、透明。</w:t>
      </w:r>
    </w:p>
    <w:p w14:paraId="5B5C94C8" w14:textId="77777777" w:rsidR="009178A7" w:rsidRPr="00750C33" w:rsidRDefault="00B247F8" w:rsidP="00377CC1">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hint="eastAsia"/>
          <w:sz w:val="24"/>
          <w:szCs w:val="24"/>
        </w:rPr>
        <w:t>上述纳入评价范围的单位、业务和事项以及高风险领域涵盖了公司经营管理的主要方面，不存在重大遗漏。</w:t>
      </w:r>
    </w:p>
    <w:p w14:paraId="09C4A1D0" w14:textId="77777777" w:rsidR="00B247F8" w:rsidRPr="00750C33" w:rsidRDefault="00B247F8" w:rsidP="00377CC1">
      <w:pPr>
        <w:autoSpaceDE w:val="0"/>
        <w:autoSpaceDN w:val="0"/>
        <w:spacing w:beforeLines="50" w:before="156" w:afterLines="50" w:after="156" w:line="360" w:lineRule="auto"/>
        <w:ind w:firstLineChars="196" w:firstLine="472"/>
        <w:textAlignment w:val="baseline"/>
        <w:rPr>
          <w:rFonts w:ascii="宋体" w:hAnsi="宋体" w:hint="eastAsia"/>
          <w:b/>
          <w:sz w:val="24"/>
          <w:szCs w:val="24"/>
        </w:rPr>
      </w:pPr>
      <w:r w:rsidRPr="00750C33">
        <w:rPr>
          <w:rFonts w:ascii="宋体" w:hAnsi="宋体" w:hint="eastAsia"/>
          <w:b/>
          <w:sz w:val="24"/>
          <w:szCs w:val="24"/>
        </w:rPr>
        <w:t>（二</w:t>
      </w:r>
      <w:r w:rsidRPr="00750C33">
        <w:rPr>
          <w:rFonts w:ascii="宋体" w:hAnsi="宋体"/>
          <w:b/>
          <w:sz w:val="24"/>
          <w:szCs w:val="24"/>
        </w:rPr>
        <w:t>)</w:t>
      </w:r>
      <w:r w:rsidRPr="00750C33">
        <w:rPr>
          <w:rFonts w:ascii="宋体" w:hAnsi="宋体" w:hint="eastAsia"/>
          <w:b/>
          <w:sz w:val="24"/>
          <w:szCs w:val="24"/>
        </w:rPr>
        <w:t>内部控制评价工作依据及内部控制缺陷认定标准</w:t>
      </w:r>
      <w:r w:rsidRPr="00750C33">
        <w:rPr>
          <w:rFonts w:ascii="宋体" w:hAnsi="宋体"/>
          <w:b/>
          <w:sz w:val="24"/>
          <w:szCs w:val="24"/>
        </w:rPr>
        <w:t xml:space="preserve"> </w:t>
      </w:r>
    </w:p>
    <w:p w14:paraId="57806447" w14:textId="70E3C0BC" w:rsidR="00B247F8" w:rsidRPr="00750C33" w:rsidRDefault="00B247F8">
      <w:pPr>
        <w:autoSpaceDE w:val="0"/>
        <w:autoSpaceDN w:val="0"/>
        <w:spacing w:line="360" w:lineRule="auto"/>
        <w:ind w:firstLine="615"/>
        <w:textAlignment w:val="baseline"/>
        <w:rPr>
          <w:rFonts w:ascii="宋体" w:hAnsi="宋体" w:hint="eastAsia"/>
          <w:sz w:val="24"/>
          <w:szCs w:val="24"/>
        </w:rPr>
      </w:pPr>
      <w:r w:rsidRPr="00750C33">
        <w:rPr>
          <w:rFonts w:ascii="宋体" w:hAnsi="宋体" w:hint="eastAsia"/>
          <w:sz w:val="24"/>
          <w:szCs w:val="24"/>
        </w:rPr>
        <w:t>公司依据财政部、中国证监会等五部</w:t>
      </w:r>
      <w:r w:rsidR="003A596F">
        <w:rPr>
          <w:rFonts w:ascii="宋体" w:hAnsi="宋体" w:hint="eastAsia"/>
          <w:sz w:val="24"/>
          <w:szCs w:val="24"/>
        </w:rPr>
        <w:t>委联合发布的《企业内部控制基本规范》及《企业内部控制应用指引》</w:t>
      </w:r>
      <w:r w:rsidRPr="00750C33">
        <w:rPr>
          <w:rFonts w:ascii="宋体" w:hAnsi="宋体" w:hint="eastAsia"/>
          <w:sz w:val="24"/>
          <w:szCs w:val="24"/>
        </w:rPr>
        <w:t>《企业内部控制评价指引》等相关规定，结合本公司的经营管理实际状况，组织开展内部控制评价工作并对公司的内部控制体系进行持续的改进及优化，以适应不断变化的外部环境及内部管理的要求。</w:t>
      </w:r>
    </w:p>
    <w:p w14:paraId="74DEF100" w14:textId="66850CC4" w:rsidR="009C46E9" w:rsidRPr="00750C33" w:rsidRDefault="00B247F8" w:rsidP="009C46E9">
      <w:pPr>
        <w:autoSpaceDE w:val="0"/>
        <w:autoSpaceDN w:val="0"/>
        <w:spacing w:afterLines="50" w:after="156" w:line="360" w:lineRule="auto"/>
        <w:ind w:firstLine="612"/>
        <w:textAlignment w:val="baseline"/>
        <w:rPr>
          <w:rFonts w:ascii="宋体" w:hAnsi="宋体" w:hint="eastAsia"/>
          <w:sz w:val="24"/>
          <w:szCs w:val="24"/>
        </w:rPr>
      </w:pPr>
      <w:r w:rsidRPr="00750C33">
        <w:rPr>
          <w:rFonts w:ascii="宋体" w:hAnsi="宋体" w:hint="eastAsia"/>
          <w:sz w:val="24"/>
          <w:szCs w:val="24"/>
        </w:rPr>
        <w:t>公司董事会根据内控基本规范对重大缺陷、重要缺陷和一般缺陷的认</w:t>
      </w:r>
      <w:r w:rsidR="00790BD3" w:rsidRPr="00750C33">
        <w:rPr>
          <w:rFonts w:ascii="宋体" w:hAnsi="宋体" w:hint="eastAsia"/>
          <w:sz w:val="24"/>
          <w:szCs w:val="24"/>
        </w:rPr>
        <w:t>定要求，结合公司规模、行业特征、风险偏好和风险承受度等因素，分别针对</w:t>
      </w:r>
      <w:r w:rsidRPr="00750C33">
        <w:rPr>
          <w:rFonts w:ascii="宋体" w:hAnsi="宋体" w:hint="eastAsia"/>
          <w:sz w:val="24"/>
          <w:szCs w:val="24"/>
        </w:rPr>
        <w:t>财务报</w:t>
      </w:r>
      <w:r w:rsidRPr="00750C33">
        <w:rPr>
          <w:rFonts w:ascii="宋体" w:hAnsi="宋体" w:hint="eastAsia"/>
          <w:sz w:val="24"/>
          <w:szCs w:val="24"/>
        </w:rPr>
        <w:lastRenderedPageBreak/>
        <w:t>告内部控制和非财务报告内部控制，采用定量和定性相结合的方法研究确定了适用于本公司的内部控制缺陷具体认定标准，并与以前年度保持一致。公司确定的内部控制缺陷认定标准如下：</w:t>
      </w:r>
      <w:r w:rsidRPr="00750C33">
        <w:rPr>
          <w:rFonts w:ascii="宋体" w:hAnsi="宋体"/>
          <w:sz w:val="24"/>
          <w:szCs w:val="24"/>
        </w:rPr>
        <w:t xml:space="preserve"> </w:t>
      </w:r>
    </w:p>
    <w:tbl>
      <w:tblPr>
        <w:tblW w:w="8253"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65"/>
        <w:gridCol w:w="4820"/>
        <w:gridCol w:w="2268"/>
      </w:tblGrid>
      <w:tr w:rsidR="00A117C3" w:rsidRPr="008A089E" w14:paraId="0A16E1B1" w14:textId="77777777" w:rsidTr="0010513D">
        <w:trPr>
          <w:trHeight w:val="240"/>
        </w:trPr>
        <w:tc>
          <w:tcPr>
            <w:tcW w:w="1165" w:type="dxa"/>
            <w:shd w:val="clear" w:color="auto" w:fill="auto"/>
            <w:vAlign w:val="center"/>
          </w:tcPr>
          <w:p w14:paraId="1CE37C70" w14:textId="77777777" w:rsidR="009C46E9" w:rsidRPr="009C46E9" w:rsidRDefault="009C46E9" w:rsidP="009C46E9">
            <w:pPr>
              <w:spacing w:before="40" w:after="40" w:line="240" w:lineRule="exact"/>
              <w:jc w:val="center"/>
              <w:rPr>
                <w:rFonts w:ascii="宋体" w:hAnsi="宋体" w:cs="宋体" w:hint="eastAsia"/>
                <w:b/>
                <w:szCs w:val="21"/>
              </w:rPr>
            </w:pPr>
            <w:r w:rsidRPr="009C46E9">
              <w:rPr>
                <w:rFonts w:ascii="宋体" w:hAnsi="宋体" w:cs="宋体"/>
                <w:b/>
                <w:szCs w:val="21"/>
              </w:rPr>
              <w:t>类别</w:t>
            </w:r>
          </w:p>
        </w:tc>
        <w:tc>
          <w:tcPr>
            <w:tcW w:w="4820" w:type="dxa"/>
            <w:shd w:val="clear" w:color="auto" w:fill="auto"/>
            <w:vAlign w:val="center"/>
          </w:tcPr>
          <w:p w14:paraId="5E2998B9" w14:textId="77777777" w:rsidR="009C46E9" w:rsidRPr="009C46E9" w:rsidRDefault="009C46E9" w:rsidP="009C46E9">
            <w:pPr>
              <w:spacing w:before="40" w:after="40" w:line="240" w:lineRule="exact"/>
              <w:jc w:val="center"/>
              <w:rPr>
                <w:rFonts w:ascii="宋体" w:hAnsi="宋体" w:cs="宋体" w:hint="eastAsia"/>
                <w:b/>
                <w:szCs w:val="21"/>
              </w:rPr>
            </w:pPr>
            <w:r w:rsidRPr="009C46E9">
              <w:rPr>
                <w:rFonts w:ascii="宋体" w:hAnsi="宋体" w:cs="宋体"/>
                <w:b/>
                <w:szCs w:val="21"/>
              </w:rPr>
              <w:t>财务报告</w:t>
            </w:r>
          </w:p>
        </w:tc>
        <w:tc>
          <w:tcPr>
            <w:tcW w:w="2268" w:type="dxa"/>
            <w:shd w:val="clear" w:color="auto" w:fill="auto"/>
            <w:vAlign w:val="center"/>
          </w:tcPr>
          <w:p w14:paraId="7CD4C858" w14:textId="77777777" w:rsidR="009C46E9" w:rsidRPr="009C46E9" w:rsidRDefault="009C46E9" w:rsidP="009C46E9">
            <w:pPr>
              <w:spacing w:before="40" w:after="40" w:line="240" w:lineRule="exact"/>
              <w:jc w:val="center"/>
              <w:rPr>
                <w:rFonts w:ascii="宋体" w:hAnsi="宋体" w:cs="宋体" w:hint="eastAsia"/>
                <w:b/>
                <w:szCs w:val="21"/>
              </w:rPr>
            </w:pPr>
            <w:r w:rsidRPr="009C46E9">
              <w:rPr>
                <w:rFonts w:ascii="宋体" w:hAnsi="宋体" w:cs="宋体"/>
                <w:b/>
                <w:szCs w:val="21"/>
              </w:rPr>
              <w:t>非财务报告</w:t>
            </w:r>
          </w:p>
        </w:tc>
      </w:tr>
      <w:tr w:rsidR="009C46E9" w:rsidRPr="009C46E9" w14:paraId="27FFEAAD" w14:textId="77777777" w:rsidTr="0010513D">
        <w:trPr>
          <w:trHeight w:val="240"/>
        </w:trPr>
        <w:tc>
          <w:tcPr>
            <w:tcW w:w="1165" w:type="dxa"/>
            <w:shd w:val="clear" w:color="auto" w:fill="auto"/>
            <w:vAlign w:val="center"/>
          </w:tcPr>
          <w:p w14:paraId="2ADCF162" w14:textId="77777777" w:rsidR="009C46E9" w:rsidRPr="009C46E9" w:rsidRDefault="009C46E9" w:rsidP="009C46E9">
            <w:pPr>
              <w:spacing w:before="40" w:after="40" w:line="240" w:lineRule="exact"/>
              <w:jc w:val="left"/>
              <w:rPr>
                <w:rFonts w:ascii="宋体" w:hAnsi="宋体" w:cs="宋体" w:hint="eastAsia"/>
                <w:b/>
                <w:szCs w:val="21"/>
              </w:rPr>
            </w:pPr>
            <w:r w:rsidRPr="009C46E9">
              <w:rPr>
                <w:rFonts w:ascii="宋体" w:hAnsi="宋体" w:cs="宋体"/>
                <w:b/>
                <w:szCs w:val="21"/>
              </w:rPr>
              <w:t>定性标准</w:t>
            </w:r>
          </w:p>
        </w:tc>
        <w:tc>
          <w:tcPr>
            <w:tcW w:w="4820" w:type="dxa"/>
            <w:shd w:val="clear" w:color="auto" w:fill="auto"/>
            <w:vAlign w:val="center"/>
          </w:tcPr>
          <w:p w14:paraId="79250B46" w14:textId="6812A424"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1</w:t>
            </w:r>
            <w:r w:rsidRPr="008A089E">
              <w:rPr>
                <w:rFonts w:ascii="宋体" w:hAnsi="宋体" w:cs="宋体" w:hint="eastAsia"/>
                <w:szCs w:val="21"/>
              </w:rPr>
              <w:t>.</w:t>
            </w:r>
            <w:r w:rsidRPr="009C46E9">
              <w:rPr>
                <w:rFonts w:ascii="宋体" w:hAnsi="宋体" w:cs="宋体"/>
                <w:szCs w:val="21"/>
              </w:rPr>
              <w:t>财务报告重大缺陷的迹象包括：</w:t>
            </w:r>
          </w:p>
          <w:p w14:paraId="1D2E71FF"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①控制环境无效；</w:t>
            </w:r>
          </w:p>
          <w:p w14:paraId="19D7F6F7"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②公司董事、监事和高级管理人员的舞弊行为；</w:t>
            </w:r>
          </w:p>
          <w:p w14:paraId="0D2A2578"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③已经发现并报告给管理层的重大缺陷在合理的时间内未加以改正；</w:t>
            </w:r>
          </w:p>
          <w:p w14:paraId="24EC27DD"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④外部审计发现当期财务报告存在重大错报，而内部控制在运行过程中未能发现该错报；</w:t>
            </w:r>
          </w:p>
          <w:p w14:paraId="12C216C4"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⑤审计委员会和审计部门对公司的对外财务报告和财务报告内部控制的监督无效；</w:t>
            </w:r>
          </w:p>
          <w:p w14:paraId="3AF009A3"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⑥对已公告的财务报告出现的重大差错进行错报更正；</w:t>
            </w:r>
          </w:p>
          <w:p w14:paraId="25AE810B"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⑦其他可能影响报表使用者正确判断的缺陷 。</w:t>
            </w:r>
          </w:p>
          <w:p w14:paraId="329939C5" w14:textId="6AC2D789"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2</w:t>
            </w:r>
            <w:r w:rsidRPr="008A089E">
              <w:rPr>
                <w:rFonts w:ascii="宋体" w:hAnsi="宋体" w:cs="宋体" w:hint="eastAsia"/>
                <w:szCs w:val="21"/>
              </w:rPr>
              <w:t>.</w:t>
            </w:r>
            <w:r w:rsidRPr="009C46E9">
              <w:rPr>
                <w:rFonts w:ascii="宋体" w:hAnsi="宋体" w:cs="宋体"/>
                <w:szCs w:val="21"/>
              </w:rPr>
              <w:t>财务报告重要缺陷的迹象包括：</w:t>
            </w:r>
          </w:p>
          <w:p w14:paraId="3B4A0BF0"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①未按公认会计准则选择和应用会计政策；</w:t>
            </w:r>
          </w:p>
          <w:p w14:paraId="22B8DA12"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②未建立反舞弊程序和控制措施；</w:t>
            </w:r>
          </w:p>
          <w:p w14:paraId="28929CE3"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③对于非常规或特殊交易的账务处理没有建立相应的控制机制或没有实施且没有相应的补偿性控制；</w:t>
            </w:r>
          </w:p>
          <w:p w14:paraId="1B997AB9"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④财务报告过程中出现单独或多项缺陷，虽然未达到重大缺陷认定标准，但影响到财务报告的真实、准确目标。</w:t>
            </w:r>
          </w:p>
          <w:p w14:paraId="6A05BEE8" w14:textId="68B5CC8A"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3</w:t>
            </w:r>
            <w:r w:rsidRPr="008A089E">
              <w:rPr>
                <w:rFonts w:ascii="宋体" w:hAnsi="宋体" w:cs="宋体" w:hint="eastAsia"/>
                <w:szCs w:val="21"/>
              </w:rPr>
              <w:t>.</w:t>
            </w:r>
            <w:r w:rsidRPr="009C46E9">
              <w:rPr>
                <w:rFonts w:ascii="宋体" w:hAnsi="宋体" w:cs="宋体"/>
                <w:szCs w:val="21"/>
              </w:rPr>
              <w:t>一般缺陷是指除上述重大缺陷、重要缺陷之外的其他控制缺陷。</w:t>
            </w:r>
          </w:p>
        </w:tc>
        <w:tc>
          <w:tcPr>
            <w:tcW w:w="2268" w:type="dxa"/>
            <w:shd w:val="clear" w:color="auto" w:fill="auto"/>
            <w:vAlign w:val="center"/>
          </w:tcPr>
          <w:p w14:paraId="7979B0DB" w14:textId="110AC579"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1</w:t>
            </w:r>
            <w:r w:rsidRPr="008A089E">
              <w:rPr>
                <w:rFonts w:ascii="宋体" w:hAnsi="宋体" w:cs="宋体" w:hint="eastAsia"/>
                <w:szCs w:val="21"/>
              </w:rPr>
              <w:t>.</w:t>
            </w:r>
            <w:r w:rsidRPr="009C46E9">
              <w:rPr>
                <w:rFonts w:ascii="宋体" w:hAnsi="宋体" w:cs="宋体"/>
                <w:szCs w:val="21"/>
              </w:rPr>
              <w:t>如果缺陷发生的可能性高，会严重降低工作效率或效果、或严重加大效果的不确定性、或使之严重偏离预期目标为重大缺陷。</w:t>
            </w:r>
          </w:p>
          <w:p w14:paraId="4C82B4F3" w14:textId="456096A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2</w:t>
            </w:r>
            <w:r w:rsidRPr="008A089E">
              <w:rPr>
                <w:rFonts w:ascii="宋体" w:hAnsi="宋体" w:cs="宋体" w:hint="eastAsia"/>
                <w:szCs w:val="21"/>
              </w:rPr>
              <w:t>.</w:t>
            </w:r>
            <w:r w:rsidRPr="009C46E9">
              <w:rPr>
                <w:rFonts w:ascii="宋体" w:hAnsi="宋体" w:cs="宋体"/>
                <w:szCs w:val="21"/>
              </w:rPr>
              <w:t>如果缺陷发生的可能性较高，会显著降低工作效率或效果、或显著加大效果的不确定性、或使之显著偏离预期目标为重要缺陷。</w:t>
            </w:r>
          </w:p>
          <w:p w14:paraId="4D649DA0" w14:textId="4DD5766F"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3</w:t>
            </w:r>
            <w:r w:rsidRPr="008A089E">
              <w:rPr>
                <w:rFonts w:ascii="宋体" w:hAnsi="宋体" w:cs="宋体" w:hint="eastAsia"/>
                <w:szCs w:val="21"/>
              </w:rPr>
              <w:t>.</w:t>
            </w:r>
            <w:r w:rsidRPr="009C46E9">
              <w:rPr>
                <w:rFonts w:ascii="宋体" w:hAnsi="宋体" w:cs="宋体"/>
                <w:szCs w:val="21"/>
              </w:rPr>
              <w:t>如果缺陷发生的可能性较小，会降低工作效率或效果、或加大效果的不确定性、或使之偏离预期目标为一般缺陷。</w:t>
            </w:r>
          </w:p>
        </w:tc>
      </w:tr>
      <w:tr w:rsidR="009C46E9" w:rsidRPr="009C46E9" w14:paraId="4CB3F9B1" w14:textId="77777777" w:rsidTr="0010513D">
        <w:trPr>
          <w:trHeight w:val="240"/>
        </w:trPr>
        <w:tc>
          <w:tcPr>
            <w:tcW w:w="1165" w:type="dxa"/>
            <w:shd w:val="clear" w:color="auto" w:fill="auto"/>
            <w:vAlign w:val="center"/>
          </w:tcPr>
          <w:p w14:paraId="1FDAC9BD" w14:textId="77777777" w:rsidR="009C46E9" w:rsidRPr="009C46E9" w:rsidRDefault="009C46E9" w:rsidP="009C46E9">
            <w:pPr>
              <w:spacing w:before="40" w:after="40" w:line="240" w:lineRule="exact"/>
              <w:jc w:val="left"/>
              <w:rPr>
                <w:rFonts w:ascii="宋体" w:hAnsi="宋体" w:cs="宋体" w:hint="eastAsia"/>
                <w:b/>
                <w:szCs w:val="21"/>
              </w:rPr>
            </w:pPr>
            <w:r w:rsidRPr="009C46E9">
              <w:rPr>
                <w:rFonts w:ascii="宋体" w:hAnsi="宋体" w:cs="宋体"/>
                <w:b/>
                <w:szCs w:val="21"/>
              </w:rPr>
              <w:t>定量标准</w:t>
            </w:r>
          </w:p>
        </w:tc>
        <w:tc>
          <w:tcPr>
            <w:tcW w:w="4820" w:type="dxa"/>
            <w:shd w:val="clear" w:color="auto" w:fill="auto"/>
            <w:vAlign w:val="center"/>
          </w:tcPr>
          <w:p w14:paraId="277A17CD" w14:textId="00FB8B7B"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1</w:t>
            </w:r>
            <w:r w:rsidRPr="008A089E">
              <w:rPr>
                <w:rFonts w:ascii="宋体" w:hAnsi="宋体" w:cs="宋体" w:hint="eastAsia"/>
                <w:szCs w:val="21"/>
              </w:rPr>
              <w:t>.</w:t>
            </w:r>
            <w:r w:rsidRPr="009C46E9">
              <w:rPr>
                <w:rFonts w:ascii="宋体" w:hAnsi="宋体" w:cs="宋体"/>
                <w:szCs w:val="21"/>
              </w:rPr>
              <w:t>重大缺陷：</w:t>
            </w:r>
            <w:r w:rsidRPr="009C46E9">
              <w:rPr>
                <w:rFonts w:ascii="宋体" w:hAnsi="宋体" w:cs="宋体" w:hint="eastAsia"/>
                <w:szCs w:val="21"/>
              </w:rPr>
              <w:t>财务报表的错报金额落在如下区间：</w:t>
            </w:r>
          </w:p>
          <w:p w14:paraId="11EFD989"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1）错报金额≥资产总额的1</w:t>
            </w:r>
            <w:r w:rsidRPr="009C46E9">
              <w:rPr>
                <w:rFonts w:ascii="宋体" w:hAnsi="宋体" w:cs="宋体"/>
                <w:szCs w:val="21"/>
              </w:rPr>
              <w:t>%</w:t>
            </w:r>
            <w:r w:rsidRPr="009C46E9">
              <w:rPr>
                <w:rFonts w:ascii="宋体" w:hAnsi="宋体" w:cs="宋体" w:hint="eastAsia"/>
                <w:szCs w:val="21"/>
              </w:rPr>
              <w:t>；</w:t>
            </w:r>
          </w:p>
          <w:p w14:paraId="397909E1"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2）错报金额≥营业收入总额的2</w:t>
            </w:r>
            <w:r w:rsidRPr="009C46E9">
              <w:rPr>
                <w:rFonts w:ascii="宋体" w:hAnsi="宋体" w:cs="宋体"/>
                <w:szCs w:val="21"/>
              </w:rPr>
              <w:t>%</w:t>
            </w:r>
            <w:r w:rsidRPr="009C46E9">
              <w:rPr>
                <w:rFonts w:ascii="宋体" w:hAnsi="宋体" w:cs="宋体" w:hint="eastAsia"/>
                <w:szCs w:val="21"/>
              </w:rPr>
              <w:t>；</w:t>
            </w:r>
          </w:p>
          <w:p w14:paraId="737CBD8C"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3）错报金额≥税前利润总额的5</w:t>
            </w:r>
            <w:r w:rsidRPr="009C46E9">
              <w:rPr>
                <w:rFonts w:ascii="宋体" w:hAnsi="宋体" w:cs="宋体"/>
                <w:szCs w:val="21"/>
              </w:rPr>
              <w:t>%</w:t>
            </w:r>
            <w:r w:rsidRPr="009C46E9">
              <w:rPr>
                <w:rFonts w:ascii="宋体" w:hAnsi="宋体" w:cs="宋体" w:hint="eastAsia"/>
                <w:szCs w:val="21"/>
              </w:rPr>
              <w:t>。</w:t>
            </w:r>
          </w:p>
          <w:p w14:paraId="1380A8A3" w14:textId="7C188ADC"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2</w:t>
            </w:r>
            <w:r w:rsidRPr="008A089E">
              <w:rPr>
                <w:rFonts w:ascii="宋体" w:hAnsi="宋体" w:cs="宋体" w:hint="eastAsia"/>
                <w:szCs w:val="21"/>
              </w:rPr>
              <w:t>.</w:t>
            </w:r>
            <w:r w:rsidRPr="009C46E9">
              <w:rPr>
                <w:rFonts w:ascii="宋体" w:hAnsi="宋体" w:cs="宋体"/>
                <w:szCs w:val="21"/>
              </w:rPr>
              <w:t>重要缺陷：财务报表</w:t>
            </w:r>
            <w:r w:rsidRPr="009C46E9">
              <w:rPr>
                <w:rFonts w:ascii="宋体" w:hAnsi="宋体" w:cs="宋体" w:hint="eastAsia"/>
                <w:szCs w:val="21"/>
              </w:rPr>
              <w:t>的</w:t>
            </w:r>
            <w:r w:rsidRPr="009C46E9">
              <w:rPr>
                <w:rFonts w:ascii="宋体" w:hAnsi="宋体" w:cs="宋体"/>
                <w:szCs w:val="21"/>
              </w:rPr>
              <w:t>错报金额介于重大缺陷与一般缺陷之间。</w:t>
            </w:r>
          </w:p>
          <w:p w14:paraId="49D22398" w14:textId="341654F3"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3</w:t>
            </w:r>
            <w:r w:rsidRPr="008A089E">
              <w:rPr>
                <w:rFonts w:ascii="宋体" w:hAnsi="宋体" w:cs="宋体" w:hint="eastAsia"/>
                <w:szCs w:val="21"/>
              </w:rPr>
              <w:t>.</w:t>
            </w:r>
            <w:r w:rsidRPr="009C46E9">
              <w:rPr>
                <w:rFonts w:ascii="宋体" w:hAnsi="宋体" w:cs="宋体"/>
                <w:szCs w:val="21"/>
              </w:rPr>
              <w:t>一般缺陷：</w:t>
            </w:r>
            <w:r w:rsidRPr="009C46E9">
              <w:rPr>
                <w:rFonts w:ascii="宋体" w:hAnsi="宋体" w:cs="宋体" w:hint="eastAsia"/>
                <w:szCs w:val="21"/>
              </w:rPr>
              <w:t>财务报表的错报金额落在如下区间：</w:t>
            </w:r>
          </w:p>
          <w:p w14:paraId="1DAC68C5" w14:textId="49013B35"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1）错报金额＜资产总额的</w:t>
            </w:r>
            <w:r w:rsidRPr="008A089E">
              <w:rPr>
                <w:rFonts w:ascii="宋体" w:hAnsi="宋体" w:cs="宋体"/>
                <w:szCs w:val="21"/>
              </w:rPr>
              <w:t>0.5</w:t>
            </w:r>
            <w:r w:rsidRPr="009C46E9">
              <w:rPr>
                <w:rFonts w:ascii="宋体" w:hAnsi="宋体" w:cs="宋体"/>
                <w:szCs w:val="21"/>
              </w:rPr>
              <w:t>%</w:t>
            </w:r>
            <w:r w:rsidRPr="009C46E9">
              <w:rPr>
                <w:rFonts w:ascii="宋体" w:hAnsi="宋体" w:cs="宋体" w:hint="eastAsia"/>
                <w:szCs w:val="21"/>
              </w:rPr>
              <w:t>；</w:t>
            </w:r>
          </w:p>
          <w:p w14:paraId="7A3C0C47" w14:textId="3C7FCDBC"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2）错报金额＜营业收入总额的</w:t>
            </w:r>
            <w:r w:rsidRPr="008A089E">
              <w:rPr>
                <w:rFonts w:ascii="宋体" w:hAnsi="宋体" w:cs="宋体"/>
                <w:szCs w:val="21"/>
              </w:rPr>
              <w:t>0.5</w:t>
            </w:r>
            <w:r w:rsidRPr="009C46E9">
              <w:rPr>
                <w:rFonts w:ascii="宋体" w:hAnsi="宋体" w:cs="宋体"/>
                <w:szCs w:val="21"/>
              </w:rPr>
              <w:t>%</w:t>
            </w:r>
            <w:r w:rsidRPr="009C46E9">
              <w:rPr>
                <w:rFonts w:ascii="宋体" w:hAnsi="宋体" w:cs="宋体" w:hint="eastAsia"/>
                <w:szCs w:val="21"/>
              </w:rPr>
              <w:t>；</w:t>
            </w:r>
          </w:p>
          <w:p w14:paraId="372D891C" w14:textId="1A38F1A4" w:rsidR="009C46E9" w:rsidRPr="009C46E9" w:rsidRDefault="009C46E9" w:rsidP="009C46E9">
            <w:pPr>
              <w:spacing w:line="240" w:lineRule="exact"/>
              <w:jc w:val="left"/>
              <w:rPr>
                <w:rFonts w:ascii="宋体" w:hAnsi="宋体" w:cs="宋体" w:hint="eastAsia"/>
                <w:szCs w:val="21"/>
              </w:rPr>
            </w:pPr>
            <w:r w:rsidRPr="009C46E9">
              <w:rPr>
                <w:rFonts w:ascii="宋体" w:hAnsi="宋体" w:cs="宋体" w:hint="eastAsia"/>
                <w:szCs w:val="21"/>
              </w:rPr>
              <w:t>3）错报金额＜税前利润总额的</w:t>
            </w:r>
            <w:r w:rsidRPr="008A089E">
              <w:rPr>
                <w:rFonts w:ascii="宋体" w:hAnsi="宋体" w:cs="宋体"/>
                <w:szCs w:val="21"/>
              </w:rPr>
              <w:t>3</w:t>
            </w:r>
            <w:r w:rsidRPr="009C46E9">
              <w:rPr>
                <w:rFonts w:ascii="宋体" w:hAnsi="宋体" w:cs="宋体"/>
                <w:szCs w:val="21"/>
              </w:rPr>
              <w:t>%</w:t>
            </w:r>
            <w:r w:rsidRPr="009C46E9">
              <w:rPr>
                <w:rFonts w:ascii="宋体" w:hAnsi="宋体" w:cs="宋体" w:hint="eastAsia"/>
                <w:szCs w:val="21"/>
              </w:rPr>
              <w:t>。</w:t>
            </w:r>
          </w:p>
        </w:tc>
        <w:tc>
          <w:tcPr>
            <w:tcW w:w="2268" w:type="dxa"/>
            <w:shd w:val="clear" w:color="auto" w:fill="auto"/>
            <w:vAlign w:val="center"/>
          </w:tcPr>
          <w:p w14:paraId="68F1D74D"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重大缺陷：直接财产损失金额在人民币 5000 万元以上；</w:t>
            </w:r>
          </w:p>
          <w:p w14:paraId="20DDA6E7"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重要缺陷：直接财产损失金额在人民币 3000 万元~5000 万元（含 5000万元）；</w:t>
            </w:r>
          </w:p>
          <w:p w14:paraId="72589E0B" w14:textId="77777777" w:rsidR="009C46E9" w:rsidRPr="009C46E9" w:rsidRDefault="009C46E9" w:rsidP="009C46E9">
            <w:pPr>
              <w:spacing w:line="240" w:lineRule="exact"/>
              <w:jc w:val="left"/>
              <w:rPr>
                <w:rFonts w:ascii="宋体" w:hAnsi="宋体" w:cs="宋体" w:hint="eastAsia"/>
                <w:szCs w:val="21"/>
              </w:rPr>
            </w:pPr>
            <w:r w:rsidRPr="009C46E9">
              <w:rPr>
                <w:rFonts w:ascii="宋体" w:hAnsi="宋体" w:cs="宋体"/>
                <w:szCs w:val="21"/>
              </w:rPr>
              <w:t>一般缺陷：直接财产损失金额在人民币 3000 万元（含 3000万元）以下。</w:t>
            </w:r>
          </w:p>
        </w:tc>
      </w:tr>
    </w:tbl>
    <w:p w14:paraId="54F35314" w14:textId="77777777" w:rsidR="005C4C9C" w:rsidRPr="00BA70C2" w:rsidRDefault="00E34545" w:rsidP="005C4C9C">
      <w:pPr>
        <w:autoSpaceDE w:val="0"/>
        <w:autoSpaceDN w:val="0"/>
        <w:spacing w:beforeLines="50" w:before="156" w:afterLines="50" w:after="156" w:line="360" w:lineRule="auto"/>
        <w:ind w:firstLineChars="196" w:firstLine="472"/>
        <w:textAlignment w:val="baseline"/>
        <w:rPr>
          <w:rFonts w:ascii="宋体" w:hAnsi="宋体" w:hint="eastAsia"/>
          <w:b/>
          <w:sz w:val="24"/>
          <w:szCs w:val="24"/>
        </w:rPr>
      </w:pPr>
      <w:r w:rsidRPr="000922CE">
        <w:rPr>
          <w:rFonts w:ascii="宋体" w:hAnsi="宋体" w:hint="eastAsia"/>
          <w:b/>
          <w:sz w:val="24"/>
          <w:szCs w:val="24"/>
        </w:rPr>
        <w:t>（三）</w:t>
      </w:r>
      <w:r w:rsidR="00B247F8" w:rsidRPr="000922CE">
        <w:rPr>
          <w:rFonts w:ascii="宋体" w:hAnsi="宋体" w:hint="eastAsia"/>
          <w:b/>
          <w:sz w:val="24"/>
          <w:szCs w:val="24"/>
        </w:rPr>
        <w:t>内部控制缺陷认定及整改情况</w:t>
      </w:r>
      <w:r w:rsidR="00B247F8" w:rsidRPr="00BA70C2">
        <w:rPr>
          <w:rFonts w:ascii="宋体" w:hAnsi="宋体"/>
          <w:b/>
          <w:sz w:val="24"/>
          <w:szCs w:val="24"/>
        </w:rPr>
        <w:t xml:space="preserve"> </w:t>
      </w:r>
    </w:p>
    <w:p w14:paraId="2E6E9C5C" w14:textId="73E074D1" w:rsidR="002C4B84" w:rsidRDefault="002D41B7" w:rsidP="005C4C9C">
      <w:pPr>
        <w:autoSpaceDE w:val="0"/>
        <w:autoSpaceDN w:val="0"/>
        <w:spacing w:line="360" w:lineRule="auto"/>
        <w:ind w:firstLineChars="196" w:firstLine="470"/>
        <w:textAlignment w:val="baseline"/>
        <w:rPr>
          <w:rFonts w:ascii="宋体" w:hAnsi="宋体" w:hint="eastAsia"/>
          <w:sz w:val="24"/>
          <w:szCs w:val="24"/>
        </w:rPr>
      </w:pPr>
      <w:r w:rsidRPr="002D41B7">
        <w:rPr>
          <w:rFonts w:ascii="宋体" w:hAnsi="宋体" w:hint="eastAsia"/>
          <w:sz w:val="24"/>
          <w:szCs w:val="24"/>
        </w:rPr>
        <w:t>1</w:t>
      </w:r>
      <w:r w:rsidR="00C8230A">
        <w:rPr>
          <w:rFonts w:ascii="宋体" w:hAnsi="宋体" w:hint="eastAsia"/>
          <w:sz w:val="24"/>
          <w:szCs w:val="24"/>
        </w:rPr>
        <w:t>．</w:t>
      </w:r>
      <w:r w:rsidRPr="002D41B7">
        <w:rPr>
          <w:rFonts w:ascii="宋体" w:hAnsi="宋体" w:hint="eastAsia"/>
          <w:sz w:val="24"/>
          <w:szCs w:val="24"/>
        </w:rPr>
        <w:t>财务报告内部控制缺陷认定及整改情况</w:t>
      </w:r>
    </w:p>
    <w:p w14:paraId="1B6CE777" w14:textId="229B1A89" w:rsidR="002D41B7" w:rsidRDefault="002D41B7" w:rsidP="005C4C9C">
      <w:pPr>
        <w:autoSpaceDE w:val="0"/>
        <w:autoSpaceDN w:val="0"/>
        <w:spacing w:line="360" w:lineRule="auto"/>
        <w:ind w:firstLineChars="196" w:firstLine="470"/>
        <w:textAlignment w:val="baseline"/>
        <w:rPr>
          <w:rFonts w:ascii="宋体" w:hAnsi="宋体" w:hint="eastAsia"/>
          <w:sz w:val="24"/>
          <w:szCs w:val="24"/>
        </w:rPr>
      </w:pPr>
      <w:r w:rsidRPr="002D41B7">
        <w:rPr>
          <w:rFonts w:ascii="宋体" w:hAnsi="宋体" w:hint="eastAsia"/>
          <w:sz w:val="24"/>
          <w:szCs w:val="24"/>
        </w:rPr>
        <w:t>根据上述财务报告内部控制缺陷的认定标准，报告期</w:t>
      </w:r>
      <w:r w:rsidR="002C4B84">
        <w:rPr>
          <w:rFonts w:ascii="宋体" w:hAnsi="宋体" w:hint="eastAsia"/>
          <w:sz w:val="24"/>
          <w:szCs w:val="24"/>
        </w:rPr>
        <w:t>末</w:t>
      </w:r>
      <w:r w:rsidRPr="002D41B7">
        <w:rPr>
          <w:rFonts w:ascii="宋体" w:hAnsi="宋体" w:hint="eastAsia"/>
          <w:sz w:val="24"/>
          <w:szCs w:val="24"/>
        </w:rPr>
        <w:t>公司不存在内部控制重大缺陷、重要缺陷。</w:t>
      </w:r>
    </w:p>
    <w:p w14:paraId="3EEB5FE1" w14:textId="7E131CEC" w:rsidR="002C4B84" w:rsidRPr="002C4B84" w:rsidRDefault="002D41B7" w:rsidP="002C4B84">
      <w:pPr>
        <w:pStyle w:val="af0"/>
        <w:numPr>
          <w:ilvl w:val="0"/>
          <w:numId w:val="5"/>
        </w:numPr>
        <w:autoSpaceDE w:val="0"/>
        <w:autoSpaceDN w:val="0"/>
        <w:spacing w:line="360" w:lineRule="auto"/>
        <w:ind w:firstLineChars="0"/>
        <w:textAlignment w:val="baseline"/>
        <w:rPr>
          <w:rFonts w:ascii="宋体" w:hAnsi="宋体" w:hint="eastAsia"/>
          <w:sz w:val="24"/>
          <w:szCs w:val="24"/>
        </w:rPr>
      </w:pPr>
      <w:r w:rsidRPr="002C4B84">
        <w:rPr>
          <w:rFonts w:ascii="宋体" w:hAnsi="宋体" w:hint="eastAsia"/>
          <w:sz w:val="24"/>
          <w:szCs w:val="24"/>
        </w:rPr>
        <w:t>非财务报告内部控制缺陷认定及整改情况</w:t>
      </w:r>
    </w:p>
    <w:p w14:paraId="38329756" w14:textId="761E54B1" w:rsidR="002D41B7" w:rsidRPr="002C4B84" w:rsidRDefault="002D41B7" w:rsidP="002C4B84">
      <w:pPr>
        <w:autoSpaceDE w:val="0"/>
        <w:autoSpaceDN w:val="0"/>
        <w:spacing w:line="360" w:lineRule="auto"/>
        <w:ind w:left="142" w:firstLineChars="118" w:firstLine="283"/>
        <w:textAlignment w:val="baseline"/>
        <w:rPr>
          <w:rFonts w:ascii="宋体" w:hAnsi="宋体" w:hint="eastAsia"/>
          <w:sz w:val="24"/>
          <w:szCs w:val="24"/>
        </w:rPr>
      </w:pPr>
      <w:r w:rsidRPr="002C4B84">
        <w:rPr>
          <w:rFonts w:ascii="宋体" w:hAnsi="宋体" w:hint="eastAsia"/>
          <w:sz w:val="24"/>
          <w:szCs w:val="24"/>
        </w:rPr>
        <w:t>根据上述非财务报告内部控制缺陷的认定标准，报告期</w:t>
      </w:r>
      <w:r w:rsidR="002C4B84">
        <w:rPr>
          <w:rFonts w:ascii="宋体" w:hAnsi="宋体" w:hint="eastAsia"/>
          <w:sz w:val="24"/>
          <w:szCs w:val="24"/>
        </w:rPr>
        <w:t>末</w:t>
      </w:r>
      <w:r w:rsidRPr="002C4B84">
        <w:rPr>
          <w:rFonts w:ascii="宋体" w:hAnsi="宋体" w:hint="eastAsia"/>
          <w:sz w:val="24"/>
          <w:szCs w:val="24"/>
        </w:rPr>
        <w:t>未发现公司非财务报告内部控制重大缺陷和重要缺陷。</w:t>
      </w:r>
    </w:p>
    <w:p w14:paraId="7065EBC5" w14:textId="61296A7C" w:rsidR="00B247F8" w:rsidRPr="00750C33" w:rsidRDefault="00B247F8" w:rsidP="005823A1">
      <w:pPr>
        <w:autoSpaceDE w:val="0"/>
        <w:autoSpaceDN w:val="0"/>
        <w:spacing w:beforeLines="50" w:before="156" w:afterLines="50" w:after="156" w:line="360" w:lineRule="auto"/>
        <w:ind w:firstLineChars="196" w:firstLine="472"/>
        <w:textAlignment w:val="baseline"/>
        <w:outlineLvl w:val="1"/>
        <w:rPr>
          <w:rFonts w:ascii="宋体" w:hAnsi="宋体" w:hint="eastAsia"/>
          <w:b/>
          <w:sz w:val="24"/>
          <w:szCs w:val="24"/>
        </w:rPr>
      </w:pPr>
      <w:r w:rsidRPr="00750C33">
        <w:rPr>
          <w:rFonts w:ascii="宋体" w:hAnsi="宋体" w:hint="eastAsia"/>
          <w:b/>
          <w:sz w:val="24"/>
          <w:szCs w:val="24"/>
        </w:rPr>
        <w:lastRenderedPageBreak/>
        <w:t>四、其他内部控制相关重大事项说明</w:t>
      </w:r>
    </w:p>
    <w:p w14:paraId="63E5C6D6" w14:textId="49B13B52" w:rsidR="002C4B84" w:rsidRDefault="002C4B84" w:rsidP="002C4B84">
      <w:pPr>
        <w:autoSpaceDE w:val="0"/>
        <w:autoSpaceDN w:val="0"/>
        <w:spacing w:line="360" w:lineRule="auto"/>
        <w:ind w:firstLineChars="200" w:firstLine="480"/>
        <w:textAlignment w:val="baseline"/>
        <w:rPr>
          <w:rFonts w:ascii="宋体" w:hAnsi="宋体" w:hint="eastAsia"/>
          <w:sz w:val="24"/>
          <w:szCs w:val="24"/>
        </w:rPr>
      </w:pPr>
      <w:r>
        <w:rPr>
          <w:rFonts w:ascii="宋体" w:hAnsi="宋体" w:hint="eastAsia"/>
          <w:sz w:val="24"/>
          <w:szCs w:val="24"/>
        </w:rPr>
        <w:t>公司</w:t>
      </w:r>
      <w:r w:rsidRPr="002C4B84">
        <w:rPr>
          <w:rFonts w:ascii="宋体" w:hAnsi="宋体" w:hint="eastAsia"/>
          <w:sz w:val="24"/>
          <w:szCs w:val="24"/>
        </w:rPr>
        <w:t>存在以前年度发生</w:t>
      </w:r>
      <w:r w:rsidR="00AA2211">
        <w:rPr>
          <w:rFonts w:ascii="宋体" w:hAnsi="宋体" w:hint="eastAsia"/>
          <w:sz w:val="24"/>
          <w:szCs w:val="24"/>
        </w:rPr>
        <w:t>但2</w:t>
      </w:r>
      <w:r w:rsidR="00AA2211">
        <w:rPr>
          <w:rFonts w:ascii="宋体" w:hAnsi="宋体"/>
          <w:sz w:val="24"/>
          <w:szCs w:val="24"/>
        </w:rPr>
        <w:t>023</w:t>
      </w:r>
      <w:r w:rsidR="00AA2211">
        <w:rPr>
          <w:rFonts w:ascii="宋体" w:hAnsi="宋体" w:hint="eastAsia"/>
          <w:sz w:val="24"/>
          <w:szCs w:val="24"/>
        </w:rPr>
        <w:t>年度</w:t>
      </w:r>
      <w:r w:rsidRPr="002C4B84">
        <w:rPr>
          <w:rFonts w:ascii="宋体" w:hAnsi="宋体" w:hint="eastAsia"/>
          <w:sz w:val="24"/>
          <w:szCs w:val="24"/>
        </w:rPr>
        <w:t>尚未解决的2项财务报告内部控制重大缺陷：1</w:t>
      </w:r>
      <w:r w:rsidR="00C8230A">
        <w:rPr>
          <w:rFonts w:ascii="宋体" w:hAnsi="宋体"/>
          <w:sz w:val="24"/>
          <w:szCs w:val="24"/>
        </w:rPr>
        <w:t>.</w:t>
      </w:r>
      <w:r w:rsidRPr="002C4B84">
        <w:rPr>
          <w:rFonts w:ascii="宋体" w:hAnsi="宋体" w:hint="eastAsia"/>
          <w:sz w:val="24"/>
          <w:szCs w:val="24"/>
        </w:rPr>
        <w:t>关联方资金占用尚未整改到位；2</w:t>
      </w:r>
      <w:r w:rsidR="00C8230A">
        <w:rPr>
          <w:rFonts w:ascii="宋体" w:hAnsi="宋体" w:hint="eastAsia"/>
          <w:sz w:val="24"/>
          <w:szCs w:val="24"/>
        </w:rPr>
        <w:t>.</w:t>
      </w:r>
      <w:r w:rsidRPr="002C4B84">
        <w:rPr>
          <w:rFonts w:ascii="宋体" w:hAnsi="宋体" w:hint="eastAsia"/>
          <w:sz w:val="24"/>
          <w:szCs w:val="24"/>
        </w:rPr>
        <w:t>违规担保尚未整改到位。</w:t>
      </w:r>
      <w:r w:rsidR="00AA2211">
        <w:rPr>
          <w:rFonts w:ascii="宋体" w:hAnsi="宋体" w:hint="eastAsia"/>
          <w:sz w:val="24"/>
          <w:szCs w:val="24"/>
        </w:rPr>
        <w:t>2</w:t>
      </w:r>
      <w:r w:rsidR="00AA2211">
        <w:rPr>
          <w:rFonts w:ascii="宋体" w:hAnsi="宋体"/>
          <w:sz w:val="24"/>
          <w:szCs w:val="24"/>
        </w:rPr>
        <w:t>024</w:t>
      </w:r>
      <w:r w:rsidR="00AA2211">
        <w:rPr>
          <w:rFonts w:ascii="宋体" w:hAnsi="宋体" w:hint="eastAsia"/>
          <w:sz w:val="24"/>
          <w:szCs w:val="24"/>
        </w:rPr>
        <w:t>年度，公司已完成</w:t>
      </w:r>
      <w:r>
        <w:rPr>
          <w:rFonts w:ascii="宋体" w:hAnsi="宋体" w:hint="eastAsia"/>
          <w:sz w:val="24"/>
          <w:szCs w:val="24"/>
        </w:rPr>
        <w:t>上述情形</w:t>
      </w:r>
      <w:r w:rsidR="00AA2211">
        <w:rPr>
          <w:rFonts w:ascii="宋体" w:hAnsi="宋体" w:hint="eastAsia"/>
          <w:sz w:val="24"/>
          <w:szCs w:val="24"/>
        </w:rPr>
        <w:t>的整改</w:t>
      </w:r>
      <w:r>
        <w:rPr>
          <w:rFonts w:ascii="宋体" w:hAnsi="宋体" w:hint="eastAsia"/>
          <w:sz w:val="24"/>
          <w:szCs w:val="24"/>
        </w:rPr>
        <w:t>，</w:t>
      </w:r>
      <w:r w:rsidRPr="002C4B84">
        <w:rPr>
          <w:rFonts w:ascii="宋体" w:hAnsi="宋体" w:hint="eastAsia"/>
          <w:sz w:val="24"/>
          <w:szCs w:val="24"/>
        </w:rPr>
        <w:t>整改方案及整改情况如下</w:t>
      </w:r>
      <w:r>
        <w:rPr>
          <w:rFonts w:ascii="宋体" w:hAnsi="宋体" w:hint="eastAsia"/>
          <w:sz w:val="24"/>
          <w:szCs w:val="24"/>
        </w:rPr>
        <w:t>：</w:t>
      </w:r>
      <w:r>
        <w:rPr>
          <w:rFonts w:ascii="宋体" w:hAnsi="宋体"/>
          <w:sz w:val="24"/>
          <w:szCs w:val="24"/>
        </w:rPr>
        <w:t xml:space="preserve"> </w:t>
      </w:r>
    </w:p>
    <w:p w14:paraId="5011CE3B" w14:textId="19B04646" w:rsidR="002C4B84" w:rsidRDefault="002C4B84" w:rsidP="002C4B84">
      <w:pPr>
        <w:autoSpaceDE w:val="0"/>
        <w:autoSpaceDN w:val="0"/>
        <w:spacing w:line="360" w:lineRule="auto"/>
        <w:ind w:firstLineChars="200" w:firstLine="480"/>
        <w:textAlignment w:val="baseline"/>
        <w:rPr>
          <w:rFonts w:ascii="宋体" w:hAnsi="宋体" w:hint="eastAsia"/>
          <w:sz w:val="24"/>
          <w:szCs w:val="24"/>
        </w:rPr>
      </w:pPr>
      <w:r w:rsidRPr="002C4B84">
        <w:rPr>
          <w:rFonts w:ascii="宋体" w:hAnsi="宋体" w:hint="eastAsia"/>
          <w:sz w:val="24"/>
          <w:szCs w:val="24"/>
        </w:rPr>
        <w:t>公司于202</w:t>
      </w:r>
      <w:r w:rsidRPr="002C4B84">
        <w:rPr>
          <w:rFonts w:ascii="宋体" w:hAnsi="宋体"/>
          <w:sz w:val="24"/>
          <w:szCs w:val="24"/>
        </w:rPr>
        <w:t>4</w:t>
      </w:r>
      <w:r w:rsidRPr="002C4B84">
        <w:rPr>
          <w:rFonts w:ascii="宋体" w:hAnsi="宋体" w:hint="eastAsia"/>
          <w:sz w:val="24"/>
          <w:szCs w:val="24"/>
        </w:rPr>
        <w:t>年12月2</w:t>
      </w:r>
      <w:r w:rsidRPr="002C4B84">
        <w:rPr>
          <w:rFonts w:ascii="宋体" w:hAnsi="宋体"/>
          <w:sz w:val="24"/>
          <w:szCs w:val="24"/>
        </w:rPr>
        <w:t>7</w:t>
      </w:r>
      <w:r w:rsidRPr="002C4B84">
        <w:rPr>
          <w:rFonts w:ascii="宋体" w:hAnsi="宋体" w:hint="eastAsia"/>
          <w:sz w:val="24"/>
          <w:szCs w:val="24"/>
        </w:rPr>
        <w:t>日破产重整计划执行完毕，公司原控股股东</w:t>
      </w:r>
      <w:r w:rsidR="00AA2211">
        <w:rPr>
          <w:rFonts w:ascii="宋体" w:hAnsi="宋体" w:hint="eastAsia"/>
          <w:sz w:val="24"/>
          <w:szCs w:val="24"/>
        </w:rPr>
        <w:t>王柏兴</w:t>
      </w:r>
      <w:r w:rsidRPr="002C4B84">
        <w:rPr>
          <w:rFonts w:ascii="宋体" w:hAnsi="宋体" w:hint="eastAsia"/>
          <w:sz w:val="24"/>
          <w:szCs w:val="24"/>
        </w:rPr>
        <w:t>及其关联方资金占用、违规担保等前期问题，在破产重整计划中制定了妥善的解决方案并按照计划执行，</w:t>
      </w:r>
      <w:r w:rsidR="00AA2211">
        <w:rPr>
          <w:rFonts w:ascii="宋体" w:hAnsi="宋体" w:hint="eastAsia"/>
          <w:sz w:val="24"/>
          <w:szCs w:val="24"/>
        </w:rPr>
        <w:t>王柏兴及其关联方</w:t>
      </w:r>
      <w:r w:rsidRPr="002C4B84">
        <w:rPr>
          <w:rFonts w:ascii="宋体" w:hAnsi="宋体" w:hint="eastAsia"/>
          <w:sz w:val="24"/>
          <w:szCs w:val="24"/>
        </w:rPr>
        <w:t>非经营性占用资金已全部清偿完毕、违规担保事项已解除。上述事项给公司日常经营活动造成的重大不利影响已经消除，公司已经完成了相关整改工作。公司严格按照监管规则和制度进行相关事项的管理，加强资金对外支付、对外担保的事前控制，保证公司资金资产安全；公司在事后加强日常监督检查的频率与强度，检查资金管理、担保管理制度与内控流程的执行情况。公司在资金管理与担保管理领域内部控制运行良好，未发生新的内部控制缺陷。</w:t>
      </w:r>
    </w:p>
    <w:p w14:paraId="6E22C9E8" w14:textId="77777777" w:rsidR="002C4B84" w:rsidRDefault="002C4B84" w:rsidP="00145BD9">
      <w:pPr>
        <w:autoSpaceDE w:val="0"/>
        <w:autoSpaceDN w:val="0"/>
        <w:spacing w:line="360" w:lineRule="auto"/>
        <w:ind w:firstLineChars="200" w:firstLine="480"/>
        <w:textAlignment w:val="baseline"/>
        <w:rPr>
          <w:rFonts w:ascii="宋体" w:hAnsi="宋体" w:hint="eastAsia"/>
          <w:sz w:val="24"/>
          <w:szCs w:val="24"/>
        </w:rPr>
      </w:pPr>
    </w:p>
    <w:p w14:paraId="1D6A3DBC" w14:textId="1A55F19D" w:rsidR="00544489" w:rsidRPr="00750C33" w:rsidRDefault="00544489" w:rsidP="00145BD9">
      <w:pPr>
        <w:autoSpaceDE w:val="0"/>
        <w:autoSpaceDN w:val="0"/>
        <w:spacing w:line="360" w:lineRule="auto"/>
        <w:ind w:firstLineChars="200" w:firstLine="480"/>
        <w:textAlignment w:val="baseline"/>
        <w:rPr>
          <w:rFonts w:ascii="宋体" w:hAnsi="宋体" w:hint="eastAsia"/>
          <w:sz w:val="24"/>
          <w:szCs w:val="24"/>
        </w:rPr>
      </w:pPr>
      <w:r w:rsidRPr="00750C33">
        <w:rPr>
          <w:rFonts w:ascii="宋体" w:hAnsi="宋体"/>
          <w:sz w:val="24"/>
          <w:szCs w:val="24"/>
        </w:rPr>
        <w:t>公司不存在其他可能对投资者理解内部控制评价报告产生重大影响的其他内部控制信息。</w:t>
      </w:r>
    </w:p>
    <w:p w14:paraId="740A7C79" w14:textId="77777777" w:rsidR="00B247F8" w:rsidRPr="00750C33" w:rsidRDefault="00B247F8">
      <w:pPr>
        <w:autoSpaceDE w:val="0"/>
        <w:autoSpaceDN w:val="0"/>
        <w:spacing w:line="360" w:lineRule="auto"/>
        <w:jc w:val="right"/>
        <w:textAlignment w:val="baseline"/>
        <w:rPr>
          <w:rFonts w:ascii="宋体" w:hAnsi="宋体" w:hint="eastAsia"/>
          <w:sz w:val="24"/>
          <w:szCs w:val="24"/>
        </w:rPr>
      </w:pPr>
      <w:r w:rsidRPr="00750C33">
        <w:rPr>
          <w:rFonts w:ascii="宋体" w:hAnsi="宋体" w:hint="eastAsia"/>
          <w:sz w:val="24"/>
          <w:szCs w:val="24"/>
        </w:rPr>
        <w:t xml:space="preserve">               </w:t>
      </w:r>
    </w:p>
    <w:p w14:paraId="515618BB" w14:textId="77777777" w:rsidR="00B247F8" w:rsidRPr="00750C33" w:rsidRDefault="00E34545" w:rsidP="00FB30E6">
      <w:pPr>
        <w:autoSpaceDE w:val="0"/>
        <w:autoSpaceDN w:val="0"/>
        <w:spacing w:line="360" w:lineRule="auto"/>
        <w:ind w:right="480"/>
        <w:jc w:val="right"/>
        <w:textAlignment w:val="baseline"/>
        <w:rPr>
          <w:rFonts w:ascii="宋体" w:hAnsi="宋体" w:hint="eastAsia"/>
          <w:sz w:val="24"/>
          <w:szCs w:val="24"/>
        </w:rPr>
      </w:pPr>
      <w:r w:rsidRPr="00750C33">
        <w:rPr>
          <w:rFonts w:ascii="宋体" w:hAnsi="宋体" w:hint="eastAsia"/>
          <w:sz w:val="24"/>
          <w:szCs w:val="24"/>
        </w:rPr>
        <w:t>江苏中利</w:t>
      </w:r>
      <w:r w:rsidR="00B247F8" w:rsidRPr="00750C33">
        <w:rPr>
          <w:rFonts w:ascii="宋体" w:hAnsi="宋体" w:hint="eastAsia"/>
          <w:sz w:val="24"/>
          <w:szCs w:val="24"/>
        </w:rPr>
        <w:t>集团股份有限公司</w:t>
      </w:r>
      <w:r w:rsidR="00FB30E6" w:rsidRPr="00750C33">
        <w:rPr>
          <w:rFonts w:ascii="宋体" w:hAnsi="宋体" w:hint="eastAsia"/>
          <w:sz w:val="24"/>
          <w:szCs w:val="24"/>
        </w:rPr>
        <w:t>董事会</w:t>
      </w:r>
    </w:p>
    <w:p w14:paraId="6EFF91A0" w14:textId="73A99A7C" w:rsidR="00B247F8" w:rsidRDefault="00B247F8">
      <w:pPr>
        <w:autoSpaceDE w:val="0"/>
        <w:autoSpaceDN w:val="0"/>
        <w:spacing w:line="360" w:lineRule="auto"/>
        <w:ind w:right="600"/>
        <w:jc w:val="center"/>
        <w:textAlignment w:val="baseline"/>
        <w:rPr>
          <w:rFonts w:ascii="宋体" w:hAnsi="宋体" w:hint="eastAsia"/>
          <w:sz w:val="24"/>
          <w:szCs w:val="24"/>
        </w:rPr>
      </w:pPr>
      <w:r w:rsidRPr="00750C33">
        <w:rPr>
          <w:rFonts w:ascii="宋体" w:hAnsi="宋体" w:hint="eastAsia"/>
          <w:sz w:val="24"/>
          <w:szCs w:val="24"/>
        </w:rPr>
        <w:t xml:space="preserve">  </w:t>
      </w:r>
      <w:r w:rsidR="00400F92" w:rsidRPr="00750C33">
        <w:rPr>
          <w:rFonts w:ascii="宋体" w:hAnsi="宋体" w:hint="eastAsia"/>
          <w:sz w:val="24"/>
          <w:szCs w:val="24"/>
        </w:rPr>
        <w:t xml:space="preserve">                                   </w:t>
      </w:r>
      <w:r w:rsidR="00395F2D">
        <w:rPr>
          <w:rFonts w:ascii="宋体" w:hAnsi="宋体" w:hint="eastAsia"/>
          <w:sz w:val="24"/>
          <w:szCs w:val="24"/>
        </w:rPr>
        <w:t>2025</w:t>
      </w:r>
      <w:r w:rsidRPr="00750C33">
        <w:rPr>
          <w:rFonts w:ascii="宋体" w:hAnsi="宋体" w:hint="eastAsia"/>
          <w:sz w:val="24"/>
          <w:szCs w:val="24"/>
        </w:rPr>
        <w:t>年4月</w:t>
      </w:r>
      <w:r w:rsidR="00561B07">
        <w:rPr>
          <w:rFonts w:ascii="宋体" w:hAnsi="宋体"/>
          <w:sz w:val="24"/>
          <w:szCs w:val="24"/>
        </w:rPr>
        <w:t>22</w:t>
      </w:r>
      <w:r w:rsidRPr="00750C33">
        <w:rPr>
          <w:rFonts w:ascii="宋体" w:hAnsi="宋体" w:hint="eastAsia"/>
          <w:sz w:val="24"/>
          <w:szCs w:val="24"/>
        </w:rPr>
        <w:t>日</w:t>
      </w:r>
    </w:p>
    <w:sectPr w:rsidR="00B247F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CE986" w14:textId="77777777" w:rsidR="007F7B0C" w:rsidRDefault="007F7B0C" w:rsidP="007B021E">
      <w:r>
        <w:separator/>
      </w:r>
    </w:p>
  </w:endnote>
  <w:endnote w:type="continuationSeparator" w:id="0">
    <w:p w14:paraId="5416BF4D" w14:textId="77777777" w:rsidR="007F7B0C" w:rsidRDefault="007F7B0C" w:rsidP="007B0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6453C" w14:textId="77777777" w:rsidR="0033590C" w:rsidRDefault="0033590C">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1641997"/>
      <w:docPartObj>
        <w:docPartGallery w:val="Page Numbers (Bottom of Page)"/>
        <w:docPartUnique/>
      </w:docPartObj>
    </w:sdtPr>
    <w:sdtContent>
      <w:sdt>
        <w:sdtPr>
          <w:id w:val="-1705238520"/>
          <w:docPartObj>
            <w:docPartGallery w:val="Page Numbers (Top of Page)"/>
            <w:docPartUnique/>
          </w:docPartObj>
        </w:sdtPr>
        <w:sdtContent>
          <w:p w14:paraId="33A5DB8B" w14:textId="65569474" w:rsidR="0033590C" w:rsidRDefault="0033590C" w:rsidP="0033590C">
            <w:pPr>
              <w:pStyle w:val="a7"/>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73EC5DE" w14:textId="100E09A1" w:rsidR="00250140" w:rsidRDefault="00250140" w:rsidP="0033590C">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509BC" w14:textId="77777777" w:rsidR="0033590C" w:rsidRDefault="0033590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9E069" w14:textId="77777777" w:rsidR="007F7B0C" w:rsidRDefault="007F7B0C" w:rsidP="007B021E">
      <w:r>
        <w:separator/>
      </w:r>
    </w:p>
  </w:footnote>
  <w:footnote w:type="continuationSeparator" w:id="0">
    <w:p w14:paraId="19B39639" w14:textId="77777777" w:rsidR="007F7B0C" w:rsidRDefault="007F7B0C" w:rsidP="007B02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E7AB3" w14:textId="77777777" w:rsidR="0033590C" w:rsidRDefault="0033590C">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7103" w14:textId="77777777" w:rsidR="0033590C" w:rsidRDefault="0033590C">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6BFE7" w14:textId="77777777" w:rsidR="0033590C" w:rsidRDefault="0033590C">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70288"/>
    <w:multiLevelType w:val="hybridMultilevel"/>
    <w:tmpl w:val="9F86692A"/>
    <w:lvl w:ilvl="0" w:tplc="482657AA">
      <w:start w:val="1"/>
      <w:numFmt w:val="decimal"/>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 w15:restartNumberingAfterBreak="0">
    <w:nsid w:val="43F8542A"/>
    <w:multiLevelType w:val="hybridMultilevel"/>
    <w:tmpl w:val="1288733E"/>
    <w:lvl w:ilvl="0" w:tplc="D72EC17A">
      <w:start w:val="1"/>
      <w:numFmt w:val="decimal"/>
      <w:lvlText w:val="%1、"/>
      <w:lvlJc w:val="left"/>
      <w:pPr>
        <w:ind w:left="622" w:hanging="48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 w15:restartNumberingAfterBreak="0">
    <w:nsid w:val="56EBB8E5"/>
    <w:multiLevelType w:val="singleLevel"/>
    <w:tmpl w:val="56EBB8E5"/>
    <w:lvl w:ilvl="0">
      <w:start w:val="11"/>
      <w:numFmt w:val="decimal"/>
      <w:suff w:val="space"/>
      <w:lvlText w:val="%1、"/>
      <w:lvlJc w:val="left"/>
    </w:lvl>
  </w:abstractNum>
  <w:abstractNum w:abstractNumId="3" w15:restartNumberingAfterBreak="0">
    <w:nsid w:val="56EF79D0"/>
    <w:multiLevelType w:val="singleLevel"/>
    <w:tmpl w:val="56EF79D0"/>
    <w:lvl w:ilvl="0">
      <w:start w:val="3"/>
      <w:numFmt w:val="chineseCounting"/>
      <w:suff w:val="nothing"/>
      <w:lvlText w:val="（%1）"/>
      <w:lvlJc w:val="left"/>
    </w:lvl>
  </w:abstractNum>
  <w:abstractNum w:abstractNumId="4" w15:restartNumberingAfterBreak="0">
    <w:nsid w:val="59030C5F"/>
    <w:multiLevelType w:val="hybridMultilevel"/>
    <w:tmpl w:val="A2F4FB38"/>
    <w:lvl w:ilvl="0" w:tplc="0409000F">
      <w:start w:val="1"/>
      <w:numFmt w:val="decimal"/>
      <w:lvlText w:val="%1."/>
      <w:lvlJc w:val="left"/>
      <w:pPr>
        <w:ind w:left="862" w:hanging="360"/>
      </w:pPr>
      <w:rPr>
        <w:rFonts w:hint="default"/>
      </w:rPr>
    </w:lvl>
    <w:lvl w:ilvl="1" w:tplc="04090019" w:tentative="1">
      <w:start w:val="1"/>
      <w:numFmt w:val="lowerLetter"/>
      <w:lvlText w:val="%2)"/>
      <w:lvlJc w:val="left"/>
      <w:pPr>
        <w:ind w:left="1382" w:hanging="440"/>
      </w:pPr>
    </w:lvl>
    <w:lvl w:ilvl="2" w:tplc="0409001B" w:tentative="1">
      <w:start w:val="1"/>
      <w:numFmt w:val="lowerRoman"/>
      <w:lvlText w:val="%3."/>
      <w:lvlJc w:val="right"/>
      <w:pPr>
        <w:ind w:left="1822" w:hanging="440"/>
      </w:pPr>
    </w:lvl>
    <w:lvl w:ilvl="3" w:tplc="0409000F" w:tentative="1">
      <w:start w:val="1"/>
      <w:numFmt w:val="decimal"/>
      <w:lvlText w:val="%4."/>
      <w:lvlJc w:val="left"/>
      <w:pPr>
        <w:ind w:left="2262" w:hanging="440"/>
      </w:pPr>
    </w:lvl>
    <w:lvl w:ilvl="4" w:tplc="04090019" w:tentative="1">
      <w:start w:val="1"/>
      <w:numFmt w:val="lowerLetter"/>
      <w:lvlText w:val="%5)"/>
      <w:lvlJc w:val="left"/>
      <w:pPr>
        <w:ind w:left="2702" w:hanging="440"/>
      </w:pPr>
    </w:lvl>
    <w:lvl w:ilvl="5" w:tplc="0409001B" w:tentative="1">
      <w:start w:val="1"/>
      <w:numFmt w:val="lowerRoman"/>
      <w:lvlText w:val="%6."/>
      <w:lvlJc w:val="right"/>
      <w:pPr>
        <w:ind w:left="3142" w:hanging="440"/>
      </w:pPr>
    </w:lvl>
    <w:lvl w:ilvl="6" w:tplc="0409000F" w:tentative="1">
      <w:start w:val="1"/>
      <w:numFmt w:val="decimal"/>
      <w:lvlText w:val="%7."/>
      <w:lvlJc w:val="left"/>
      <w:pPr>
        <w:ind w:left="3582" w:hanging="440"/>
      </w:pPr>
    </w:lvl>
    <w:lvl w:ilvl="7" w:tplc="04090019" w:tentative="1">
      <w:start w:val="1"/>
      <w:numFmt w:val="lowerLetter"/>
      <w:lvlText w:val="%8)"/>
      <w:lvlJc w:val="left"/>
      <w:pPr>
        <w:ind w:left="4022" w:hanging="440"/>
      </w:pPr>
    </w:lvl>
    <w:lvl w:ilvl="8" w:tplc="0409001B" w:tentative="1">
      <w:start w:val="1"/>
      <w:numFmt w:val="lowerRoman"/>
      <w:lvlText w:val="%9."/>
      <w:lvlJc w:val="right"/>
      <w:pPr>
        <w:ind w:left="4462" w:hanging="440"/>
      </w:pPr>
    </w:lvl>
  </w:abstractNum>
  <w:num w:numId="1" w16cid:durableId="1180312786">
    <w:abstractNumId w:val="2"/>
  </w:num>
  <w:num w:numId="2" w16cid:durableId="452360616">
    <w:abstractNumId w:val="3"/>
  </w:num>
  <w:num w:numId="3" w16cid:durableId="1217548621">
    <w:abstractNumId w:val="1"/>
  </w:num>
  <w:num w:numId="4" w16cid:durableId="1158961747">
    <w:abstractNumId w:val="0"/>
  </w:num>
  <w:num w:numId="5" w16cid:durableId="6272019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A90"/>
    <w:rsid w:val="00001E71"/>
    <w:rsid w:val="00002320"/>
    <w:rsid w:val="00015552"/>
    <w:rsid w:val="00026644"/>
    <w:rsid w:val="00030069"/>
    <w:rsid w:val="00030227"/>
    <w:rsid w:val="00042BF6"/>
    <w:rsid w:val="00043494"/>
    <w:rsid w:val="00043CC0"/>
    <w:rsid w:val="000445F3"/>
    <w:rsid w:val="00051C80"/>
    <w:rsid w:val="00052516"/>
    <w:rsid w:val="000576BD"/>
    <w:rsid w:val="0006131B"/>
    <w:rsid w:val="0006177E"/>
    <w:rsid w:val="0006198C"/>
    <w:rsid w:val="00061BE9"/>
    <w:rsid w:val="00064AE1"/>
    <w:rsid w:val="000666F5"/>
    <w:rsid w:val="0007048D"/>
    <w:rsid w:val="00080A8A"/>
    <w:rsid w:val="000902D1"/>
    <w:rsid w:val="000922CE"/>
    <w:rsid w:val="0009671F"/>
    <w:rsid w:val="000975C0"/>
    <w:rsid w:val="000A1E84"/>
    <w:rsid w:val="000A24DB"/>
    <w:rsid w:val="000A358C"/>
    <w:rsid w:val="000A4DE2"/>
    <w:rsid w:val="000A70D9"/>
    <w:rsid w:val="000A7DDC"/>
    <w:rsid w:val="000B62EB"/>
    <w:rsid w:val="000C00F3"/>
    <w:rsid w:val="000C2794"/>
    <w:rsid w:val="000C357B"/>
    <w:rsid w:val="000C5E27"/>
    <w:rsid w:val="000C61D0"/>
    <w:rsid w:val="000D2649"/>
    <w:rsid w:val="000D44E1"/>
    <w:rsid w:val="000D4F97"/>
    <w:rsid w:val="000E2BF9"/>
    <w:rsid w:val="000E4C7B"/>
    <w:rsid w:val="000E516D"/>
    <w:rsid w:val="000E5200"/>
    <w:rsid w:val="000E599B"/>
    <w:rsid w:val="000E6048"/>
    <w:rsid w:val="000F23E6"/>
    <w:rsid w:val="001016EA"/>
    <w:rsid w:val="0010375F"/>
    <w:rsid w:val="0010513D"/>
    <w:rsid w:val="0010533D"/>
    <w:rsid w:val="001107A9"/>
    <w:rsid w:val="001109FD"/>
    <w:rsid w:val="00111BCA"/>
    <w:rsid w:val="00117FBE"/>
    <w:rsid w:val="00127E75"/>
    <w:rsid w:val="00131C4F"/>
    <w:rsid w:val="00136D4F"/>
    <w:rsid w:val="00140050"/>
    <w:rsid w:val="00145BD9"/>
    <w:rsid w:val="00145DD2"/>
    <w:rsid w:val="00145ED0"/>
    <w:rsid w:val="0014634E"/>
    <w:rsid w:val="001549F3"/>
    <w:rsid w:val="00155F54"/>
    <w:rsid w:val="001565D4"/>
    <w:rsid w:val="0015663B"/>
    <w:rsid w:val="00160B37"/>
    <w:rsid w:val="001615C2"/>
    <w:rsid w:val="00167060"/>
    <w:rsid w:val="00170395"/>
    <w:rsid w:val="001705E7"/>
    <w:rsid w:val="00172A27"/>
    <w:rsid w:val="00173E01"/>
    <w:rsid w:val="00175B25"/>
    <w:rsid w:val="0018064E"/>
    <w:rsid w:val="00180BA5"/>
    <w:rsid w:val="00182B07"/>
    <w:rsid w:val="00192E0E"/>
    <w:rsid w:val="00197BF7"/>
    <w:rsid w:val="001A26FA"/>
    <w:rsid w:val="001A43DB"/>
    <w:rsid w:val="001A6A8E"/>
    <w:rsid w:val="001B60C8"/>
    <w:rsid w:val="001B7B02"/>
    <w:rsid w:val="001D06EA"/>
    <w:rsid w:val="001D1FEB"/>
    <w:rsid w:val="001D52FD"/>
    <w:rsid w:val="001D568B"/>
    <w:rsid w:val="001E7428"/>
    <w:rsid w:val="001F7F0B"/>
    <w:rsid w:val="00200449"/>
    <w:rsid w:val="00212AD9"/>
    <w:rsid w:val="0021677D"/>
    <w:rsid w:val="00217B85"/>
    <w:rsid w:val="00232127"/>
    <w:rsid w:val="00233C0A"/>
    <w:rsid w:val="00233C27"/>
    <w:rsid w:val="00235BE7"/>
    <w:rsid w:val="00236649"/>
    <w:rsid w:val="0024057F"/>
    <w:rsid w:val="00243FB9"/>
    <w:rsid w:val="00247CF5"/>
    <w:rsid w:val="00250140"/>
    <w:rsid w:val="00252B14"/>
    <w:rsid w:val="00261C11"/>
    <w:rsid w:val="00262AC9"/>
    <w:rsid w:val="0026315E"/>
    <w:rsid w:val="00265370"/>
    <w:rsid w:val="002654DF"/>
    <w:rsid w:val="0027191C"/>
    <w:rsid w:val="002758AE"/>
    <w:rsid w:val="00276EF5"/>
    <w:rsid w:val="00280E46"/>
    <w:rsid w:val="0028503A"/>
    <w:rsid w:val="00285294"/>
    <w:rsid w:val="00286BA3"/>
    <w:rsid w:val="00287859"/>
    <w:rsid w:val="00294877"/>
    <w:rsid w:val="002956DF"/>
    <w:rsid w:val="00296D01"/>
    <w:rsid w:val="002A092A"/>
    <w:rsid w:val="002B1731"/>
    <w:rsid w:val="002B2339"/>
    <w:rsid w:val="002B79F8"/>
    <w:rsid w:val="002C0691"/>
    <w:rsid w:val="002C4B84"/>
    <w:rsid w:val="002C718B"/>
    <w:rsid w:val="002D1C58"/>
    <w:rsid w:val="002D22FA"/>
    <w:rsid w:val="002D41B7"/>
    <w:rsid w:val="002D4503"/>
    <w:rsid w:val="002D45CA"/>
    <w:rsid w:val="002D7FCD"/>
    <w:rsid w:val="002E1041"/>
    <w:rsid w:val="002E1245"/>
    <w:rsid w:val="002E2FAF"/>
    <w:rsid w:val="002E3A4A"/>
    <w:rsid w:val="002E6EEE"/>
    <w:rsid w:val="002F44A7"/>
    <w:rsid w:val="002F7EC1"/>
    <w:rsid w:val="00311402"/>
    <w:rsid w:val="00311E6E"/>
    <w:rsid w:val="00315465"/>
    <w:rsid w:val="00320505"/>
    <w:rsid w:val="0032172F"/>
    <w:rsid w:val="00323DB4"/>
    <w:rsid w:val="00325AE6"/>
    <w:rsid w:val="0033038D"/>
    <w:rsid w:val="003313A5"/>
    <w:rsid w:val="0033590C"/>
    <w:rsid w:val="00337038"/>
    <w:rsid w:val="00343DDC"/>
    <w:rsid w:val="00343FFE"/>
    <w:rsid w:val="0035081E"/>
    <w:rsid w:val="003526EF"/>
    <w:rsid w:val="003529DB"/>
    <w:rsid w:val="00361060"/>
    <w:rsid w:val="00361C97"/>
    <w:rsid w:val="003622A0"/>
    <w:rsid w:val="00363FC8"/>
    <w:rsid w:val="00364D91"/>
    <w:rsid w:val="00371321"/>
    <w:rsid w:val="00372970"/>
    <w:rsid w:val="00376FC0"/>
    <w:rsid w:val="00377CC1"/>
    <w:rsid w:val="00380345"/>
    <w:rsid w:val="00381BA2"/>
    <w:rsid w:val="003830B7"/>
    <w:rsid w:val="00384A1F"/>
    <w:rsid w:val="003850D7"/>
    <w:rsid w:val="003903D8"/>
    <w:rsid w:val="00395F2D"/>
    <w:rsid w:val="003A0719"/>
    <w:rsid w:val="003A596F"/>
    <w:rsid w:val="003A6E4A"/>
    <w:rsid w:val="003B24AB"/>
    <w:rsid w:val="003B4518"/>
    <w:rsid w:val="003B5063"/>
    <w:rsid w:val="003B7ED8"/>
    <w:rsid w:val="003C2737"/>
    <w:rsid w:val="003C3F99"/>
    <w:rsid w:val="003C6063"/>
    <w:rsid w:val="003C74FC"/>
    <w:rsid w:val="003D5160"/>
    <w:rsid w:val="003D5F0E"/>
    <w:rsid w:val="003E0E40"/>
    <w:rsid w:val="003E48AC"/>
    <w:rsid w:val="003E7046"/>
    <w:rsid w:val="003E7C41"/>
    <w:rsid w:val="003F064E"/>
    <w:rsid w:val="003F7638"/>
    <w:rsid w:val="003F76DD"/>
    <w:rsid w:val="00400C20"/>
    <w:rsid w:val="00400F92"/>
    <w:rsid w:val="00402D1C"/>
    <w:rsid w:val="00404AB5"/>
    <w:rsid w:val="00404F33"/>
    <w:rsid w:val="0040797A"/>
    <w:rsid w:val="004113ED"/>
    <w:rsid w:val="00412BFB"/>
    <w:rsid w:val="00420FA2"/>
    <w:rsid w:val="00426574"/>
    <w:rsid w:val="00430BCA"/>
    <w:rsid w:val="00434BE4"/>
    <w:rsid w:val="00436B50"/>
    <w:rsid w:val="00441E85"/>
    <w:rsid w:val="00445DD7"/>
    <w:rsid w:val="00456F54"/>
    <w:rsid w:val="0046572C"/>
    <w:rsid w:val="004663D1"/>
    <w:rsid w:val="004751B7"/>
    <w:rsid w:val="0047629A"/>
    <w:rsid w:val="00483FEC"/>
    <w:rsid w:val="00484DA7"/>
    <w:rsid w:val="0049169E"/>
    <w:rsid w:val="00494F40"/>
    <w:rsid w:val="00496334"/>
    <w:rsid w:val="00496D45"/>
    <w:rsid w:val="0049726E"/>
    <w:rsid w:val="004A3096"/>
    <w:rsid w:val="004A4339"/>
    <w:rsid w:val="004A60DE"/>
    <w:rsid w:val="004A6B3F"/>
    <w:rsid w:val="004B04B7"/>
    <w:rsid w:val="004B2044"/>
    <w:rsid w:val="004B243B"/>
    <w:rsid w:val="004B2F79"/>
    <w:rsid w:val="004B4E2E"/>
    <w:rsid w:val="004B6E72"/>
    <w:rsid w:val="004C01DC"/>
    <w:rsid w:val="004C582E"/>
    <w:rsid w:val="004D5E6A"/>
    <w:rsid w:val="004D6710"/>
    <w:rsid w:val="004D7099"/>
    <w:rsid w:val="004E0332"/>
    <w:rsid w:val="004E067A"/>
    <w:rsid w:val="004E13B6"/>
    <w:rsid w:val="004E7520"/>
    <w:rsid w:val="004F3F32"/>
    <w:rsid w:val="005017EB"/>
    <w:rsid w:val="00502A37"/>
    <w:rsid w:val="0050503B"/>
    <w:rsid w:val="00512398"/>
    <w:rsid w:val="00513323"/>
    <w:rsid w:val="00516472"/>
    <w:rsid w:val="005213D7"/>
    <w:rsid w:val="005234FC"/>
    <w:rsid w:val="005251C3"/>
    <w:rsid w:val="00531891"/>
    <w:rsid w:val="00531A60"/>
    <w:rsid w:val="0053390D"/>
    <w:rsid w:val="00534E36"/>
    <w:rsid w:val="00536148"/>
    <w:rsid w:val="00536873"/>
    <w:rsid w:val="00536DAD"/>
    <w:rsid w:val="0053740E"/>
    <w:rsid w:val="00537956"/>
    <w:rsid w:val="00544489"/>
    <w:rsid w:val="0054499F"/>
    <w:rsid w:val="00545B38"/>
    <w:rsid w:val="00545DB3"/>
    <w:rsid w:val="00553F74"/>
    <w:rsid w:val="00556E75"/>
    <w:rsid w:val="0055787E"/>
    <w:rsid w:val="005602E9"/>
    <w:rsid w:val="00561B07"/>
    <w:rsid w:val="00565205"/>
    <w:rsid w:val="005666CC"/>
    <w:rsid w:val="00581F10"/>
    <w:rsid w:val="005823A1"/>
    <w:rsid w:val="0058447B"/>
    <w:rsid w:val="00584B66"/>
    <w:rsid w:val="0058747A"/>
    <w:rsid w:val="00593142"/>
    <w:rsid w:val="0059454A"/>
    <w:rsid w:val="005953A2"/>
    <w:rsid w:val="005A1224"/>
    <w:rsid w:val="005B36C3"/>
    <w:rsid w:val="005B60DF"/>
    <w:rsid w:val="005B6A40"/>
    <w:rsid w:val="005C124D"/>
    <w:rsid w:val="005C4751"/>
    <w:rsid w:val="005C4C9C"/>
    <w:rsid w:val="005C726B"/>
    <w:rsid w:val="005D1095"/>
    <w:rsid w:val="005D1185"/>
    <w:rsid w:val="005D277B"/>
    <w:rsid w:val="005D48EB"/>
    <w:rsid w:val="005D5781"/>
    <w:rsid w:val="005D77DA"/>
    <w:rsid w:val="005E0082"/>
    <w:rsid w:val="005E1732"/>
    <w:rsid w:val="005E2ED1"/>
    <w:rsid w:val="005E7EDA"/>
    <w:rsid w:val="005F6449"/>
    <w:rsid w:val="00601FB4"/>
    <w:rsid w:val="0060683F"/>
    <w:rsid w:val="00611090"/>
    <w:rsid w:val="00613E94"/>
    <w:rsid w:val="006145BE"/>
    <w:rsid w:val="0061672B"/>
    <w:rsid w:val="00617885"/>
    <w:rsid w:val="00622EF7"/>
    <w:rsid w:val="00627AEE"/>
    <w:rsid w:val="0063276A"/>
    <w:rsid w:val="00633359"/>
    <w:rsid w:val="006426BC"/>
    <w:rsid w:val="00646D25"/>
    <w:rsid w:val="00653A29"/>
    <w:rsid w:val="00656205"/>
    <w:rsid w:val="0066000B"/>
    <w:rsid w:val="00660C43"/>
    <w:rsid w:val="006629CB"/>
    <w:rsid w:val="00663F1D"/>
    <w:rsid w:val="006652D2"/>
    <w:rsid w:val="00665E9C"/>
    <w:rsid w:val="0067252D"/>
    <w:rsid w:val="00672BE9"/>
    <w:rsid w:val="00673121"/>
    <w:rsid w:val="00673134"/>
    <w:rsid w:val="00673895"/>
    <w:rsid w:val="0068457C"/>
    <w:rsid w:val="00697DAA"/>
    <w:rsid w:val="006A2901"/>
    <w:rsid w:val="006A315C"/>
    <w:rsid w:val="006B07D1"/>
    <w:rsid w:val="006B1203"/>
    <w:rsid w:val="006C1B0B"/>
    <w:rsid w:val="006C1D05"/>
    <w:rsid w:val="006C39C0"/>
    <w:rsid w:val="006D40A0"/>
    <w:rsid w:val="006D7279"/>
    <w:rsid w:val="006E35FA"/>
    <w:rsid w:val="006E7D20"/>
    <w:rsid w:val="006F1DDB"/>
    <w:rsid w:val="006F1F2A"/>
    <w:rsid w:val="006F2378"/>
    <w:rsid w:val="006F483F"/>
    <w:rsid w:val="006F6D5F"/>
    <w:rsid w:val="007003C5"/>
    <w:rsid w:val="007071D3"/>
    <w:rsid w:val="00707A02"/>
    <w:rsid w:val="0071374F"/>
    <w:rsid w:val="0072261C"/>
    <w:rsid w:val="00724882"/>
    <w:rsid w:val="00725F7C"/>
    <w:rsid w:val="00731421"/>
    <w:rsid w:val="0073662B"/>
    <w:rsid w:val="00741974"/>
    <w:rsid w:val="007476E7"/>
    <w:rsid w:val="00747A8C"/>
    <w:rsid w:val="00747E36"/>
    <w:rsid w:val="00750C33"/>
    <w:rsid w:val="00751874"/>
    <w:rsid w:val="00751E1B"/>
    <w:rsid w:val="0076043E"/>
    <w:rsid w:val="0076453D"/>
    <w:rsid w:val="007651A5"/>
    <w:rsid w:val="00767F74"/>
    <w:rsid w:val="00770367"/>
    <w:rsid w:val="00783DFF"/>
    <w:rsid w:val="00790BD3"/>
    <w:rsid w:val="00790D4B"/>
    <w:rsid w:val="00791BC3"/>
    <w:rsid w:val="00794293"/>
    <w:rsid w:val="007A045E"/>
    <w:rsid w:val="007A09C9"/>
    <w:rsid w:val="007B021E"/>
    <w:rsid w:val="007B062B"/>
    <w:rsid w:val="007B2593"/>
    <w:rsid w:val="007B64D3"/>
    <w:rsid w:val="007C5700"/>
    <w:rsid w:val="007C6D9D"/>
    <w:rsid w:val="007C79DF"/>
    <w:rsid w:val="007D06CB"/>
    <w:rsid w:val="007D2A00"/>
    <w:rsid w:val="007D34CE"/>
    <w:rsid w:val="007D36DF"/>
    <w:rsid w:val="007D48F6"/>
    <w:rsid w:val="007E4142"/>
    <w:rsid w:val="007E6374"/>
    <w:rsid w:val="007F194B"/>
    <w:rsid w:val="007F51C8"/>
    <w:rsid w:val="007F70BF"/>
    <w:rsid w:val="007F7B0C"/>
    <w:rsid w:val="00801829"/>
    <w:rsid w:val="00806D74"/>
    <w:rsid w:val="0081335F"/>
    <w:rsid w:val="0081394C"/>
    <w:rsid w:val="00813A58"/>
    <w:rsid w:val="008159DD"/>
    <w:rsid w:val="00816A80"/>
    <w:rsid w:val="0081783C"/>
    <w:rsid w:val="008211D6"/>
    <w:rsid w:val="008243B7"/>
    <w:rsid w:val="00826613"/>
    <w:rsid w:val="00832549"/>
    <w:rsid w:val="00836BC6"/>
    <w:rsid w:val="0084305C"/>
    <w:rsid w:val="00844643"/>
    <w:rsid w:val="00850206"/>
    <w:rsid w:val="00852E80"/>
    <w:rsid w:val="00853C61"/>
    <w:rsid w:val="00857424"/>
    <w:rsid w:val="008608B0"/>
    <w:rsid w:val="008633AB"/>
    <w:rsid w:val="00864A20"/>
    <w:rsid w:val="00864D64"/>
    <w:rsid w:val="008734CC"/>
    <w:rsid w:val="0087754A"/>
    <w:rsid w:val="0088180C"/>
    <w:rsid w:val="00881AB3"/>
    <w:rsid w:val="00882B17"/>
    <w:rsid w:val="00882EB0"/>
    <w:rsid w:val="0088794A"/>
    <w:rsid w:val="00891C23"/>
    <w:rsid w:val="00897620"/>
    <w:rsid w:val="008A07BD"/>
    <w:rsid w:val="008A089E"/>
    <w:rsid w:val="008A2D18"/>
    <w:rsid w:val="008A38EE"/>
    <w:rsid w:val="008A4475"/>
    <w:rsid w:val="008A68C2"/>
    <w:rsid w:val="008B0C6D"/>
    <w:rsid w:val="008B1BC6"/>
    <w:rsid w:val="008B53BE"/>
    <w:rsid w:val="008B5859"/>
    <w:rsid w:val="008C1555"/>
    <w:rsid w:val="008C2C1E"/>
    <w:rsid w:val="008C51A9"/>
    <w:rsid w:val="008C7D9F"/>
    <w:rsid w:val="008D115E"/>
    <w:rsid w:val="008D25E8"/>
    <w:rsid w:val="008D29D2"/>
    <w:rsid w:val="008E0396"/>
    <w:rsid w:val="008E15CE"/>
    <w:rsid w:val="008E35DE"/>
    <w:rsid w:val="008E3B6D"/>
    <w:rsid w:val="008F13E4"/>
    <w:rsid w:val="00903483"/>
    <w:rsid w:val="00905E18"/>
    <w:rsid w:val="00906760"/>
    <w:rsid w:val="009178A7"/>
    <w:rsid w:val="00921292"/>
    <w:rsid w:val="0092204F"/>
    <w:rsid w:val="00922189"/>
    <w:rsid w:val="00922E60"/>
    <w:rsid w:val="00927AF0"/>
    <w:rsid w:val="009334CC"/>
    <w:rsid w:val="009337EA"/>
    <w:rsid w:val="009513A7"/>
    <w:rsid w:val="00952919"/>
    <w:rsid w:val="00954319"/>
    <w:rsid w:val="00955318"/>
    <w:rsid w:val="009570D4"/>
    <w:rsid w:val="0095765F"/>
    <w:rsid w:val="009641A6"/>
    <w:rsid w:val="00964345"/>
    <w:rsid w:val="00971265"/>
    <w:rsid w:val="00973507"/>
    <w:rsid w:val="00975601"/>
    <w:rsid w:val="0097754F"/>
    <w:rsid w:val="0098038C"/>
    <w:rsid w:val="00980D2B"/>
    <w:rsid w:val="0098182A"/>
    <w:rsid w:val="00985795"/>
    <w:rsid w:val="00986E99"/>
    <w:rsid w:val="00991F08"/>
    <w:rsid w:val="00993F6C"/>
    <w:rsid w:val="009958A8"/>
    <w:rsid w:val="00996142"/>
    <w:rsid w:val="009A467F"/>
    <w:rsid w:val="009B3235"/>
    <w:rsid w:val="009B5696"/>
    <w:rsid w:val="009B787F"/>
    <w:rsid w:val="009C0D41"/>
    <w:rsid w:val="009C19E4"/>
    <w:rsid w:val="009C2562"/>
    <w:rsid w:val="009C32F4"/>
    <w:rsid w:val="009C46E9"/>
    <w:rsid w:val="009C4D11"/>
    <w:rsid w:val="009D446D"/>
    <w:rsid w:val="009D4DD7"/>
    <w:rsid w:val="009D6FE9"/>
    <w:rsid w:val="009E0126"/>
    <w:rsid w:val="009E322B"/>
    <w:rsid w:val="009E527F"/>
    <w:rsid w:val="009E6A68"/>
    <w:rsid w:val="009F290C"/>
    <w:rsid w:val="009F6384"/>
    <w:rsid w:val="00A06FDF"/>
    <w:rsid w:val="00A105CB"/>
    <w:rsid w:val="00A117C3"/>
    <w:rsid w:val="00A12FA6"/>
    <w:rsid w:val="00A134E6"/>
    <w:rsid w:val="00A204AB"/>
    <w:rsid w:val="00A22DEA"/>
    <w:rsid w:val="00A32320"/>
    <w:rsid w:val="00A32617"/>
    <w:rsid w:val="00A3307A"/>
    <w:rsid w:val="00A3422A"/>
    <w:rsid w:val="00A34ED3"/>
    <w:rsid w:val="00A362C7"/>
    <w:rsid w:val="00A41D44"/>
    <w:rsid w:val="00A41E34"/>
    <w:rsid w:val="00A426DE"/>
    <w:rsid w:val="00A42C54"/>
    <w:rsid w:val="00A4582D"/>
    <w:rsid w:val="00A45927"/>
    <w:rsid w:val="00A46370"/>
    <w:rsid w:val="00A51894"/>
    <w:rsid w:val="00A53A81"/>
    <w:rsid w:val="00A5738C"/>
    <w:rsid w:val="00A576E0"/>
    <w:rsid w:val="00A6209C"/>
    <w:rsid w:val="00A65698"/>
    <w:rsid w:val="00A66F19"/>
    <w:rsid w:val="00A72C2C"/>
    <w:rsid w:val="00A748B2"/>
    <w:rsid w:val="00A75061"/>
    <w:rsid w:val="00A7541F"/>
    <w:rsid w:val="00A75555"/>
    <w:rsid w:val="00A759C8"/>
    <w:rsid w:val="00A803D4"/>
    <w:rsid w:val="00A87C46"/>
    <w:rsid w:val="00A91B0D"/>
    <w:rsid w:val="00A94CD1"/>
    <w:rsid w:val="00A976BB"/>
    <w:rsid w:val="00A97E28"/>
    <w:rsid w:val="00AA0B02"/>
    <w:rsid w:val="00AA2211"/>
    <w:rsid w:val="00AB52D0"/>
    <w:rsid w:val="00AC00A9"/>
    <w:rsid w:val="00AC2EC5"/>
    <w:rsid w:val="00AC7A90"/>
    <w:rsid w:val="00AD1AF5"/>
    <w:rsid w:val="00AD6086"/>
    <w:rsid w:val="00AD7426"/>
    <w:rsid w:val="00AD777A"/>
    <w:rsid w:val="00AE32F2"/>
    <w:rsid w:val="00AE7942"/>
    <w:rsid w:val="00B01667"/>
    <w:rsid w:val="00B0582A"/>
    <w:rsid w:val="00B07BFD"/>
    <w:rsid w:val="00B11B37"/>
    <w:rsid w:val="00B1206B"/>
    <w:rsid w:val="00B1263B"/>
    <w:rsid w:val="00B167DB"/>
    <w:rsid w:val="00B16C66"/>
    <w:rsid w:val="00B176FF"/>
    <w:rsid w:val="00B23239"/>
    <w:rsid w:val="00B244B2"/>
    <w:rsid w:val="00B247F8"/>
    <w:rsid w:val="00B263AF"/>
    <w:rsid w:val="00B26E0A"/>
    <w:rsid w:val="00B30D2F"/>
    <w:rsid w:val="00B31F99"/>
    <w:rsid w:val="00B33DE5"/>
    <w:rsid w:val="00B36F75"/>
    <w:rsid w:val="00B4058E"/>
    <w:rsid w:val="00B50988"/>
    <w:rsid w:val="00B618A8"/>
    <w:rsid w:val="00B61FF7"/>
    <w:rsid w:val="00B667F9"/>
    <w:rsid w:val="00B73829"/>
    <w:rsid w:val="00B73CE7"/>
    <w:rsid w:val="00B80937"/>
    <w:rsid w:val="00B81C73"/>
    <w:rsid w:val="00B826FB"/>
    <w:rsid w:val="00B82C7B"/>
    <w:rsid w:val="00B83BAD"/>
    <w:rsid w:val="00B87DB2"/>
    <w:rsid w:val="00B919C2"/>
    <w:rsid w:val="00B923FB"/>
    <w:rsid w:val="00B93112"/>
    <w:rsid w:val="00B9365A"/>
    <w:rsid w:val="00B94533"/>
    <w:rsid w:val="00BA182A"/>
    <w:rsid w:val="00BA6A1A"/>
    <w:rsid w:val="00BA70C2"/>
    <w:rsid w:val="00BA7F64"/>
    <w:rsid w:val="00BB2416"/>
    <w:rsid w:val="00BC21B9"/>
    <w:rsid w:val="00BC7E6A"/>
    <w:rsid w:val="00BD18E4"/>
    <w:rsid w:val="00BD5BAC"/>
    <w:rsid w:val="00BD5D9C"/>
    <w:rsid w:val="00BD658E"/>
    <w:rsid w:val="00BE52B9"/>
    <w:rsid w:val="00BF2A49"/>
    <w:rsid w:val="00BF5C2D"/>
    <w:rsid w:val="00C05E02"/>
    <w:rsid w:val="00C062E8"/>
    <w:rsid w:val="00C16E97"/>
    <w:rsid w:val="00C17614"/>
    <w:rsid w:val="00C27990"/>
    <w:rsid w:val="00C36998"/>
    <w:rsid w:val="00C374C0"/>
    <w:rsid w:val="00C4071E"/>
    <w:rsid w:val="00C47723"/>
    <w:rsid w:val="00C5333B"/>
    <w:rsid w:val="00C537ED"/>
    <w:rsid w:val="00C54B73"/>
    <w:rsid w:val="00C57FFC"/>
    <w:rsid w:val="00C651FE"/>
    <w:rsid w:val="00C759C5"/>
    <w:rsid w:val="00C75EA0"/>
    <w:rsid w:val="00C773A7"/>
    <w:rsid w:val="00C800E3"/>
    <w:rsid w:val="00C8149B"/>
    <w:rsid w:val="00C8230A"/>
    <w:rsid w:val="00C877B4"/>
    <w:rsid w:val="00C90A44"/>
    <w:rsid w:val="00C918A8"/>
    <w:rsid w:val="00C93150"/>
    <w:rsid w:val="00C97EA9"/>
    <w:rsid w:val="00CA0E5A"/>
    <w:rsid w:val="00CA2D74"/>
    <w:rsid w:val="00CB23DC"/>
    <w:rsid w:val="00CB5436"/>
    <w:rsid w:val="00CC3DC5"/>
    <w:rsid w:val="00CC4B5C"/>
    <w:rsid w:val="00CC5330"/>
    <w:rsid w:val="00CD3E4B"/>
    <w:rsid w:val="00CD4F3D"/>
    <w:rsid w:val="00CE28DC"/>
    <w:rsid w:val="00CF1DED"/>
    <w:rsid w:val="00CF2CFE"/>
    <w:rsid w:val="00CF5874"/>
    <w:rsid w:val="00D03119"/>
    <w:rsid w:val="00D040B8"/>
    <w:rsid w:val="00D10FC8"/>
    <w:rsid w:val="00D110FF"/>
    <w:rsid w:val="00D12B88"/>
    <w:rsid w:val="00D13E86"/>
    <w:rsid w:val="00D14919"/>
    <w:rsid w:val="00D16DF6"/>
    <w:rsid w:val="00D25CC9"/>
    <w:rsid w:val="00D278F5"/>
    <w:rsid w:val="00D31972"/>
    <w:rsid w:val="00D404BF"/>
    <w:rsid w:val="00D43F5F"/>
    <w:rsid w:val="00D44569"/>
    <w:rsid w:val="00D47A09"/>
    <w:rsid w:val="00D5701A"/>
    <w:rsid w:val="00D62B0A"/>
    <w:rsid w:val="00D63C24"/>
    <w:rsid w:val="00D7026C"/>
    <w:rsid w:val="00D762F4"/>
    <w:rsid w:val="00D77C0D"/>
    <w:rsid w:val="00D80721"/>
    <w:rsid w:val="00D81821"/>
    <w:rsid w:val="00D81F1F"/>
    <w:rsid w:val="00D835DF"/>
    <w:rsid w:val="00D8443E"/>
    <w:rsid w:val="00D8490D"/>
    <w:rsid w:val="00D84BCD"/>
    <w:rsid w:val="00D9005D"/>
    <w:rsid w:val="00D90F33"/>
    <w:rsid w:val="00D9312A"/>
    <w:rsid w:val="00D95E5E"/>
    <w:rsid w:val="00D95F99"/>
    <w:rsid w:val="00D97D26"/>
    <w:rsid w:val="00DA0D15"/>
    <w:rsid w:val="00DA4AA8"/>
    <w:rsid w:val="00DA647A"/>
    <w:rsid w:val="00DB45DE"/>
    <w:rsid w:val="00DB4DD2"/>
    <w:rsid w:val="00DB7C1E"/>
    <w:rsid w:val="00DC0D97"/>
    <w:rsid w:val="00DD3383"/>
    <w:rsid w:val="00DD5724"/>
    <w:rsid w:val="00DD7DC0"/>
    <w:rsid w:val="00DE26E9"/>
    <w:rsid w:val="00DF1BB1"/>
    <w:rsid w:val="00DF29BF"/>
    <w:rsid w:val="00DF5285"/>
    <w:rsid w:val="00E01E7B"/>
    <w:rsid w:val="00E0262E"/>
    <w:rsid w:val="00E03A9C"/>
    <w:rsid w:val="00E07E19"/>
    <w:rsid w:val="00E10283"/>
    <w:rsid w:val="00E11EB4"/>
    <w:rsid w:val="00E15217"/>
    <w:rsid w:val="00E15745"/>
    <w:rsid w:val="00E20663"/>
    <w:rsid w:val="00E21092"/>
    <w:rsid w:val="00E33431"/>
    <w:rsid w:val="00E34545"/>
    <w:rsid w:val="00E34CFB"/>
    <w:rsid w:val="00E35803"/>
    <w:rsid w:val="00E365B2"/>
    <w:rsid w:val="00E43C0D"/>
    <w:rsid w:val="00E44934"/>
    <w:rsid w:val="00E5018E"/>
    <w:rsid w:val="00E50D53"/>
    <w:rsid w:val="00E6186F"/>
    <w:rsid w:val="00E63283"/>
    <w:rsid w:val="00E66CEA"/>
    <w:rsid w:val="00E66EF8"/>
    <w:rsid w:val="00E66F45"/>
    <w:rsid w:val="00E7032E"/>
    <w:rsid w:val="00E812CA"/>
    <w:rsid w:val="00E8529A"/>
    <w:rsid w:val="00E85415"/>
    <w:rsid w:val="00E92402"/>
    <w:rsid w:val="00E93DAA"/>
    <w:rsid w:val="00E97C7A"/>
    <w:rsid w:val="00EA289B"/>
    <w:rsid w:val="00EB06A7"/>
    <w:rsid w:val="00EC2ACD"/>
    <w:rsid w:val="00EC7163"/>
    <w:rsid w:val="00EC7BD6"/>
    <w:rsid w:val="00ED4627"/>
    <w:rsid w:val="00ED5069"/>
    <w:rsid w:val="00ED70C4"/>
    <w:rsid w:val="00EF09E5"/>
    <w:rsid w:val="00EF279A"/>
    <w:rsid w:val="00EF5471"/>
    <w:rsid w:val="00F010EB"/>
    <w:rsid w:val="00F10CD3"/>
    <w:rsid w:val="00F12323"/>
    <w:rsid w:val="00F15F04"/>
    <w:rsid w:val="00F22AF6"/>
    <w:rsid w:val="00F2589A"/>
    <w:rsid w:val="00F27079"/>
    <w:rsid w:val="00F27429"/>
    <w:rsid w:val="00F35B35"/>
    <w:rsid w:val="00F40271"/>
    <w:rsid w:val="00F543E9"/>
    <w:rsid w:val="00F54740"/>
    <w:rsid w:val="00F57261"/>
    <w:rsid w:val="00F576DA"/>
    <w:rsid w:val="00F577E6"/>
    <w:rsid w:val="00F65BE2"/>
    <w:rsid w:val="00F66A79"/>
    <w:rsid w:val="00F70839"/>
    <w:rsid w:val="00F7156D"/>
    <w:rsid w:val="00F73B7B"/>
    <w:rsid w:val="00F76735"/>
    <w:rsid w:val="00F80782"/>
    <w:rsid w:val="00F80EF6"/>
    <w:rsid w:val="00F816CA"/>
    <w:rsid w:val="00F81B09"/>
    <w:rsid w:val="00F820E0"/>
    <w:rsid w:val="00F90053"/>
    <w:rsid w:val="00F900BD"/>
    <w:rsid w:val="00F90124"/>
    <w:rsid w:val="00F914B0"/>
    <w:rsid w:val="00F93CFF"/>
    <w:rsid w:val="00F940C1"/>
    <w:rsid w:val="00F97B97"/>
    <w:rsid w:val="00FA1485"/>
    <w:rsid w:val="00FA24F9"/>
    <w:rsid w:val="00FB0E4B"/>
    <w:rsid w:val="00FB30E6"/>
    <w:rsid w:val="00FC0637"/>
    <w:rsid w:val="00FC19FF"/>
    <w:rsid w:val="00FC48C1"/>
    <w:rsid w:val="00FC4FFF"/>
    <w:rsid w:val="00FD4A5F"/>
    <w:rsid w:val="00FE0775"/>
    <w:rsid w:val="00FE6F55"/>
    <w:rsid w:val="00FF4636"/>
    <w:rsid w:val="00FF6A73"/>
    <w:rsid w:val="11572417"/>
    <w:rsid w:val="1D8D16C9"/>
    <w:rsid w:val="1E2A0B2D"/>
    <w:rsid w:val="24F979F1"/>
    <w:rsid w:val="4E1242A4"/>
    <w:rsid w:val="522B07D6"/>
    <w:rsid w:val="5F7A7B7E"/>
    <w:rsid w:val="767475CB"/>
    <w:rsid w:val="7DAF6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473740"/>
  <w15:docId w15:val="{99564F04-5BFB-4B96-8D09-C9CCAD893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1A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Pr>
      <w:sz w:val="21"/>
      <w:szCs w:val="21"/>
    </w:rPr>
  </w:style>
  <w:style w:type="character" w:customStyle="1" w:styleId="a4">
    <w:name w:val="批注主题 字符"/>
    <w:link w:val="a5"/>
    <w:uiPriority w:val="99"/>
    <w:semiHidden/>
    <w:rPr>
      <w:b/>
      <w:bCs/>
      <w:kern w:val="2"/>
      <w:sz w:val="21"/>
    </w:rPr>
  </w:style>
  <w:style w:type="character" w:customStyle="1" w:styleId="a6">
    <w:name w:val="页脚 字符"/>
    <w:link w:val="a7"/>
    <w:uiPriority w:val="99"/>
    <w:rPr>
      <w:kern w:val="2"/>
      <w:sz w:val="18"/>
      <w:szCs w:val="18"/>
    </w:rPr>
  </w:style>
  <w:style w:type="character" w:customStyle="1" w:styleId="a8">
    <w:name w:val="批注框文本 字符"/>
    <w:link w:val="a9"/>
    <w:uiPriority w:val="99"/>
    <w:semiHidden/>
    <w:rPr>
      <w:kern w:val="2"/>
      <w:sz w:val="18"/>
      <w:szCs w:val="18"/>
    </w:rPr>
  </w:style>
  <w:style w:type="character" w:customStyle="1" w:styleId="aa">
    <w:name w:val="页眉 字符"/>
    <w:link w:val="ab"/>
    <w:uiPriority w:val="99"/>
    <w:rPr>
      <w:kern w:val="2"/>
      <w:sz w:val="18"/>
      <w:szCs w:val="18"/>
    </w:rPr>
  </w:style>
  <w:style w:type="character" w:customStyle="1" w:styleId="ac">
    <w:name w:val="批注文字 字符"/>
    <w:link w:val="ad"/>
    <w:uiPriority w:val="99"/>
    <w:semiHidden/>
    <w:rPr>
      <w:kern w:val="2"/>
      <w:sz w:val="21"/>
    </w:rPr>
  </w:style>
  <w:style w:type="paragraph" w:styleId="a9">
    <w:name w:val="Balloon Text"/>
    <w:basedOn w:val="a"/>
    <w:link w:val="a8"/>
    <w:uiPriority w:val="99"/>
    <w:unhideWhenUsed/>
    <w:rPr>
      <w:sz w:val="18"/>
      <w:szCs w:val="18"/>
    </w:rPr>
  </w:style>
  <w:style w:type="paragraph" w:styleId="ab">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7">
    <w:name w:val="footer"/>
    <w:basedOn w:val="a"/>
    <w:link w:val="a6"/>
    <w:uiPriority w:val="99"/>
    <w:unhideWhenUsed/>
    <w:pPr>
      <w:tabs>
        <w:tab w:val="center" w:pos="4153"/>
        <w:tab w:val="right" w:pos="8306"/>
      </w:tabs>
      <w:snapToGrid w:val="0"/>
      <w:jc w:val="left"/>
    </w:pPr>
    <w:rPr>
      <w:sz w:val="18"/>
      <w:szCs w:val="18"/>
    </w:rPr>
  </w:style>
  <w:style w:type="paragraph" w:styleId="a5">
    <w:name w:val="annotation subject"/>
    <w:basedOn w:val="ad"/>
    <w:next w:val="ad"/>
    <w:link w:val="a4"/>
    <w:uiPriority w:val="99"/>
    <w:unhideWhenUsed/>
    <w:rPr>
      <w:b/>
      <w:bCs/>
    </w:rPr>
  </w:style>
  <w:style w:type="paragraph" w:styleId="ad">
    <w:name w:val="annotation text"/>
    <w:basedOn w:val="a"/>
    <w:link w:val="ac"/>
    <w:uiPriority w:val="99"/>
    <w:unhideWhenUsed/>
    <w:pPr>
      <w:jc w:val="left"/>
    </w:pPr>
  </w:style>
  <w:style w:type="paragraph" w:customStyle="1" w:styleId="ae">
    <w:name w:val="正文的样式"/>
    <w:basedOn w:val="a"/>
    <w:pPr>
      <w:spacing w:before="100" w:after="100"/>
    </w:pPr>
  </w:style>
  <w:style w:type="table" w:styleId="af">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4C9C"/>
    <w:pPr>
      <w:widowControl w:val="0"/>
      <w:autoSpaceDE w:val="0"/>
      <w:autoSpaceDN w:val="0"/>
      <w:adjustRightInd w:val="0"/>
    </w:pPr>
    <w:rPr>
      <w:rFonts w:ascii="宋体" w:cs="宋体"/>
      <w:color w:val="000000"/>
      <w:sz w:val="24"/>
      <w:szCs w:val="24"/>
    </w:rPr>
  </w:style>
  <w:style w:type="paragraph" w:styleId="af0">
    <w:name w:val="List Paragraph"/>
    <w:basedOn w:val="a"/>
    <w:uiPriority w:val="34"/>
    <w:qFormat/>
    <w:rsid w:val="005C4C9C"/>
    <w:pPr>
      <w:ind w:firstLineChars="200" w:firstLine="420"/>
    </w:pPr>
    <w:rPr>
      <w:rFonts w:ascii="Calibri" w:hAnsi="Calibri"/>
      <w:szCs w:val="22"/>
    </w:rPr>
  </w:style>
  <w:style w:type="paragraph" w:styleId="af1">
    <w:name w:val="Date"/>
    <w:basedOn w:val="a"/>
    <w:next w:val="a"/>
    <w:link w:val="af2"/>
    <w:uiPriority w:val="99"/>
    <w:semiHidden/>
    <w:unhideWhenUsed/>
    <w:rsid w:val="00BD658E"/>
    <w:pPr>
      <w:ind w:leftChars="2500" w:left="100"/>
    </w:pPr>
  </w:style>
  <w:style w:type="character" w:customStyle="1" w:styleId="af2">
    <w:name w:val="日期 字符"/>
    <w:basedOn w:val="a0"/>
    <w:link w:val="af1"/>
    <w:uiPriority w:val="99"/>
    <w:semiHidden/>
    <w:rsid w:val="00BD658E"/>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41540">
      <w:bodyDiv w:val="1"/>
      <w:marLeft w:val="0"/>
      <w:marRight w:val="0"/>
      <w:marTop w:val="0"/>
      <w:marBottom w:val="0"/>
      <w:divBdr>
        <w:top w:val="none" w:sz="0" w:space="0" w:color="auto"/>
        <w:left w:val="none" w:sz="0" w:space="0" w:color="auto"/>
        <w:bottom w:val="none" w:sz="0" w:space="0" w:color="auto"/>
        <w:right w:val="none" w:sz="0" w:space="0" w:color="auto"/>
      </w:divBdr>
    </w:div>
    <w:div w:id="55207463">
      <w:bodyDiv w:val="1"/>
      <w:marLeft w:val="0"/>
      <w:marRight w:val="0"/>
      <w:marTop w:val="0"/>
      <w:marBottom w:val="0"/>
      <w:divBdr>
        <w:top w:val="none" w:sz="0" w:space="0" w:color="auto"/>
        <w:left w:val="none" w:sz="0" w:space="0" w:color="auto"/>
        <w:bottom w:val="none" w:sz="0" w:space="0" w:color="auto"/>
        <w:right w:val="none" w:sz="0" w:space="0" w:color="auto"/>
      </w:divBdr>
    </w:div>
    <w:div w:id="91635087">
      <w:bodyDiv w:val="1"/>
      <w:marLeft w:val="0"/>
      <w:marRight w:val="0"/>
      <w:marTop w:val="0"/>
      <w:marBottom w:val="0"/>
      <w:divBdr>
        <w:top w:val="none" w:sz="0" w:space="0" w:color="auto"/>
        <w:left w:val="none" w:sz="0" w:space="0" w:color="auto"/>
        <w:bottom w:val="none" w:sz="0" w:space="0" w:color="auto"/>
        <w:right w:val="none" w:sz="0" w:space="0" w:color="auto"/>
      </w:divBdr>
      <w:divsChild>
        <w:div w:id="801773062">
          <w:marLeft w:val="0"/>
          <w:marRight w:val="0"/>
          <w:marTop w:val="0"/>
          <w:marBottom w:val="0"/>
          <w:divBdr>
            <w:top w:val="none" w:sz="0" w:space="0" w:color="auto"/>
            <w:left w:val="none" w:sz="0" w:space="0" w:color="auto"/>
            <w:bottom w:val="none" w:sz="0" w:space="0" w:color="auto"/>
            <w:right w:val="none" w:sz="0" w:space="0" w:color="auto"/>
          </w:divBdr>
        </w:div>
        <w:div w:id="1141312821">
          <w:marLeft w:val="0"/>
          <w:marRight w:val="0"/>
          <w:marTop w:val="0"/>
          <w:marBottom w:val="0"/>
          <w:divBdr>
            <w:top w:val="none" w:sz="0" w:space="0" w:color="auto"/>
            <w:left w:val="none" w:sz="0" w:space="0" w:color="auto"/>
            <w:bottom w:val="none" w:sz="0" w:space="0" w:color="auto"/>
            <w:right w:val="none" w:sz="0" w:space="0" w:color="auto"/>
          </w:divBdr>
        </w:div>
        <w:div w:id="1789472207">
          <w:marLeft w:val="0"/>
          <w:marRight w:val="0"/>
          <w:marTop w:val="0"/>
          <w:marBottom w:val="0"/>
          <w:divBdr>
            <w:top w:val="none" w:sz="0" w:space="0" w:color="auto"/>
            <w:left w:val="none" w:sz="0" w:space="0" w:color="auto"/>
            <w:bottom w:val="none" w:sz="0" w:space="0" w:color="auto"/>
            <w:right w:val="none" w:sz="0" w:space="0" w:color="auto"/>
          </w:divBdr>
        </w:div>
      </w:divsChild>
    </w:div>
    <w:div w:id="104542113">
      <w:bodyDiv w:val="1"/>
      <w:marLeft w:val="0"/>
      <w:marRight w:val="0"/>
      <w:marTop w:val="0"/>
      <w:marBottom w:val="0"/>
      <w:divBdr>
        <w:top w:val="none" w:sz="0" w:space="0" w:color="auto"/>
        <w:left w:val="none" w:sz="0" w:space="0" w:color="auto"/>
        <w:bottom w:val="none" w:sz="0" w:space="0" w:color="auto"/>
        <w:right w:val="none" w:sz="0" w:space="0" w:color="auto"/>
      </w:divBdr>
      <w:divsChild>
        <w:div w:id="473639817">
          <w:marLeft w:val="0"/>
          <w:marRight w:val="0"/>
          <w:marTop w:val="0"/>
          <w:marBottom w:val="0"/>
          <w:divBdr>
            <w:top w:val="none" w:sz="0" w:space="0" w:color="auto"/>
            <w:left w:val="none" w:sz="0" w:space="0" w:color="auto"/>
            <w:bottom w:val="none" w:sz="0" w:space="0" w:color="auto"/>
            <w:right w:val="none" w:sz="0" w:space="0" w:color="auto"/>
          </w:divBdr>
        </w:div>
        <w:div w:id="719938367">
          <w:marLeft w:val="0"/>
          <w:marRight w:val="0"/>
          <w:marTop w:val="0"/>
          <w:marBottom w:val="0"/>
          <w:divBdr>
            <w:top w:val="none" w:sz="0" w:space="0" w:color="auto"/>
            <w:left w:val="none" w:sz="0" w:space="0" w:color="auto"/>
            <w:bottom w:val="none" w:sz="0" w:space="0" w:color="auto"/>
            <w:right w:val="none" w:sz="0" w:space="0" w:color="auto"/>
          </w:divBdr>
        </w:div>
        <w:div w:id="1195725500">
          <w:marLeft w:val="0"/>
          <w:marRight w:val="0"/>
          <w:marTop w:val="0"/>
          <w:marBottom w:val="0"/>
          <w:divBdr>
            <w:top w:val="none" w:sz="0" w:space="0" w:color="auto"/>
            <w:left w:val="none" w:sz="0" w:space="0" w:color="auto"/>
            <w:bottom w:val="none" w:sz="0" w:space="0" w:color="auto"/>
            <w:right w:val="none" w:sz="0" w:space="0" w:color="auto"/>
          </w:divBdr>
        </w:div>
        <w:div w:id="1627855172">
          <w:marLeft w:val="0"/>
          <w:marRight w:val="0"/>
          <w:marTop w:val="0"/>
          <w:marBottom w:val="0"/>
          <w:divBdr>
            <w:top w:val="none" w:sz="0" w:space="0" w:color="auto"/>
            <w:left w:val="none" w:sz="0" w:space="0" w:color="auto"/>
            <w:bottom w:val="none" w:sz="0" w:space="0" w:color="auto"/>
            <w:right w:val="none" w:sz="0" w:space="0" w:color="auto"/>
          </w:divBdr>
        </w:div>
      </w:divsChild>
    </w:div>
    <w:div w:id="110783417">
      <w:bodyDiv w:val="1"/>
      <w:marLeft w:val="0"/>
      <w:marRight w:val="0"/>
      <w:marTop w:val="0"/>
      <w:marBottom w:val="0"/>
      <w:divBdr>
        <w:top w:val="none" w:sz="0" w:space="0" w:color="auto"/>
        <w:left w:val="none" w:sz="0" w:space="0" w:color="auto"/>
        <w:bottom w:val="none" w:sz="0" w:space="0" w:color="auto"/>
        <w:right w:val="none" w:sz="0" w:space="0" w:color="auto"/>
      </w:divBdr>
      <w:divsChild>
        <w:div w:id="421875273">
          <w:marLeft w:val="0"/>
          <w:marRight w:val="0"/>
          <w:marTop w:val="0"/>
          <w:marBottom w:val="0"/>
          <w:divBdr>
            <w:top w:val="none" w:sz="0" w:space="0" w:color="auto"/>
            <w:left w:val="none" w:sz="0" w:space="0" w:color="auto"/>
            <w:bottom w:val="none" w:sz="0" w:space="0" w:color="auto"/>
            <w:right w:val="none" w:sz="0" w:space="0" w:color="auto"/>
          </w:divBdr>
        </w:div>
        <w:div w:id="556815260">
          <w:marLeft w:val="0"/>
          <w:marRight w:val="0"/>
          <w:marTop w:val="0"/>
          <w:marBottom w:val="0"/>
          <w:divBdr>
            <w:top w:val="none" w:sz="0" w:space="0" w:color="auto"/>
            <w:left w:val="none" w:sz="0" w:space="0" w:color="auto"/>
            <w:bottom w:val="none" w:sz="0" w:space="0" w:color="auto"/>
            <w:right w:val="none" w:sz="0" w:space="0" w:color="auto"/>
          </w:divBdr>
        </w:div>
        <w:div w:id="826899582">
          <w:marLeft w:val="0"/>
          <w:marRight w:val="0"/>
          <w:marTop w:val="0"/>
          <w:marBottom w:val="0"/>
          <w:divBdr>
            <w:top w:val="none" w:sz="0" w:space="0" w:color="auto"/>
            <w:left w:val="none" w:sz="0" w:space="0" w:color="auto"/>
            <w:bottom w:val="none" w:sz="0" w:space="0" w:color="auto"/>
            <w:right w:val="none" w:sz="0" w:space="0" w:color="auto"/>
          </w:divBdr>
        </w:div>
        <w:div w:id="1037466424">
          <w:marLeft w:val="0"/>
          <w:marRight w:val="0"/>
          <w:marTop w:val="0"/>
          <w:marBottom w:val="0"/>
          <w:divBdr>
            <w:top w:val="none" w:sz="0" w:space="0" w:color="auto"/>
            <w:left w:val="none" w:sz="0" w:space="0" w:color="auto"/>
            <w:bottom w:val="none" w:sz="0" w:space="0" w:color="auto"/>
            <w:right w:val="none" w:sz="0" w:space="0" w:color="auto"/>
          </w:divBdr>
        </w:div>
        <w:div w:id="1607302470">
          <w:marLeft w:val="0"/>
          <w:marRight w:val="0"/>
          <w:marTop w:val="0"/>
          <w:marBottom w:val="0"/>
          <w:divBdr>
            <w:top w:val="none" w:sz="0" w:space="0" w:color="auto"/>
            <w:left w:val="none" w:sz="0" w:space="0" w:color="auto"/>
            <w:bottom w:val="none" w:sz="0" w:space="0" w:color="auto"/>
            <w:right w:val="none" w:sz="0" w:space="0" w:color="auto"/>
          </w:divBdr>
        </w:div>
        <w:div w:id="1658069521">
          <w:marLeft w:val="0"/>
          <w:marRight w:val="0"/>
          <w:marTop w:val="0"/>
          <w:marBottom w:val="0"/>
          <w:divBdr>
            <w:top w:val="none" w:sz="0" w:space="0" w:color="auto"/>
            <w:left w:val="none" w:sz="0" w:space="0" w:color="auto"/>
            <w:bottom w:val="none" w:sz="0" w:space="0" w:color="auto"/>
            <w:right w:val="none" w:sz="0" w:space="0" w:color="auto"/>
          </w:divBdr>
        </w:div>
        <w:div w:id="2115053870">
          <w:marLeft w:val="0"/>
          <w:marRight w:val="0"/>
          <w:marTop w:val="0"/>
          <w:marBottom w:val="0"/>
          <w:divBdr>
            <w:top w:val="none" w:sz="0" w:space="0" w:color="auto"/>
            <w:left w:val="none" w:sz="0" w:space="0" w:color="auto"/>
            <w:bottom w:val="none" w:sz="0" w:space="0" w:color="auto"/>
            <w:right w:val="none" w:sz="0" w:space="0" w:color="auto"/>
          </w:divBdr>
        </w:div>
      </w:divsChild>
    </w:div>
    <w:div w:id="164126302">
      <w:bodyDiv w:val="1"/>
      <w:marLeft w:val="0"/>
      <w:marRight w:val="0"/>
      <w:marTop w:val="0"/>
      <w:marBottom w:val="0"/>
      <w:divBdr>
        <w:top w:val="none" w:sz="0" w:space="0" w:color="auto"/>
        <w:left w:val="none" w:sz="0" w:space="0" w:color="auto"/>
        <w:bottom w:val="none" w:sz="0" w:space="0" w:color="auto"/>
        <w:right w:val="none" w:sz="0" w:space="0" w:color="auto"/>
      </w:divBdr>
      <w:divsChild>
        <w:div w:id="995182083">
          <w:marLeft w:val="0"/>
          <w:marRight w:val="0"/>
          <w:marTop w:val="0"/>
          <w:marBottom w:val="0"/>
          <w:divBdr>
            <w:top w:val="none" w:sz="0" w:space="0" w:color="auto"/>
            <w:left w:val="none" w:sz="0" w:space="0" w:color="auto"/>
            <w:bottom w:val="none" w:sz="0" w:space="0" w:color="auto"/>
            <w:right w:val="none" w:sz="0" w:space="0" w:color="auto"/>
          </w:divBdr>
        </w:div>
        <w:div w:id="1727610015">
          <w:marLeft w:val="0"/>
          <w:marRight w:val="0"/>
          <w:marTop w:val="0"/>
          <w:marBottom w:val="0"/>
          <w:divBdr>
            <w:top w:val="none" w:sz="0" w:space="0" w:color="auto"/>
            <w:left w:val="none" w:sz="0" w:space="0" w:color="auto"/>
            <w:bottom w:val="none" w:sz="0" w:space="0" w:color="auto"/>
            <w:right w:val="none" w:sz="0" w:space="0" w:color="auto"/>
          </w:divBdr>
        </w:div>
      </w:divsChild>
    </w:div>
    <w:div w:id="166942211">
      <w:bodyDiv w:val="1"/>
      <w:marLeft w:val="0"/>
      <w:marRight w:val="0"/>
      <w:marTop w:val="0"/>
      <w:marBottom w:val="0"/>
      <w:divBdr>
        <w:top w:val="none" w:sz="0" w:space="0" w:color="auto"/>
        <w:left w:val="none" w:sz="0" w:space="0" w:color="auto"/>
        <w:bottom w:val="none" w:sz="0" w:space="0" w:color="auto"/>
        <w:right w:val="none" w:sz="0" w:space="0" w:color="auto"/>
      </w:divBdr>
      <w:divsChild>
        <w:div w:id="3945392">
          <w:marLeft w:val="0"/>
          <w:marRight w:val="0"/>
          <w:marTop w:val="0"/>
          <w:marBottom w:val="0"/>
          <w:divBdr>
            <w:top w:val="none" w:sz="0" w:space="0" w:color="auto"/>
            <w:left w:val="none" w:sz="0" w:space="0" w:color="auto"/>
            <w:bottom w:val="none" w:sz="0" w:space="0" w:color="auto"/>
            <w:right w:val="none" w:sz="0" w:space="0" w:color="auto"/>
          </w:divBdr>
        </w:div>
        <w:div w:id="210969636">
          <w:marLeft w:val="0"/>
          <w:marRight w:val="0"/>
          <w:marTop w:val="0"/>
          <w:marBottom w:val="0"/>
          <w:divBdr>
            <w:top w:val="none" w:sz="0" w:space="0" w:color="auto"/>
            <w:left w:val="none" w:sz="0" w:space="0" w:color="auto"/>
            <w:bottom w:val="none" w:sz="0" w:space="0" w:color="auto"/>
            <w:right w:val="none" w:sz="0" w:space="0" w:color="auto"/>
          </w:divBdr>
        </w:div>
        <w:div w:id="438374380">
          <w:marLeft w:val="0"/>
          <w:marRight w:val="0"/>
          <w:marTop w:val="0"/>
          <w:marBottom w:val="0"/>
          <w:divBdr>
            <w:top w:val="none" w:sz="0" w:space="0" w:color="auto"/>
            <w:left w:val="none" w:sz="0" w:space="0" w:color="auto"/>
            <w:bottom w:val="none" w:sz="0" w:space="0" w:color="auto"/>
            <w:right w:val="none" w:sz="0" w:space="0" w:color="auto"/>
          </w:divBdr>
        </w:div>
        <w:div w:id="489518246">
          <w:marLeft w:val="0"/>
          <w:marRight w:val="0"/>
          <w:marTop w:val="0"/>
          <w:marBottom w:val="0"/>
          <w:divBdr>
            <w:top w:val="none" w:sz="0" w:space="0" w:color="auto"/>
            <w:left w:val="none" w:sz="0" w:space="0" w:color="auto"/>
            <w:bottom w:val="none" w:sz="0" w:space="0" w:color="auto"/>
            <w:right w:val="none" w:sz="0" w:space="0" w:color="auto"/>
          </w:divBdr>
        </w:div>
        <w:div w:id="581791702">
          <w:marLeft w:val="0"/>
          <w:marRight w:val="0"/>
          <w:marTop w:val="0"/>
          <w:marBottom w:val="0"/>
          <w:divBdr>
            <w:top w:val="none" w:sz="0" w:space="0" w:color="auto"/>
            <w:left w:val="none" w:sz="0" w:space="0" w:color="auto"/>
            <w:bottom w:val="none" w:sz="0" w:space="0" w:color="auto"/>
            <w:right w:val="none" w:sz="0" w:space="0" w:color="auto"/>
          </w:divBdr>
        </w:div>
        <w:div w:id="1207833534">
          <w:marLeft w:val="0"/>
          <w:marRight w:val="0"/>
          <w:marTop w:val="0"/>
          <w:marBottom w:val="0"/>
          <w:divBdr>
            <w:top w:val="none" w:sz="0" w:space="0" w:color="auto"/>
            <w:left w:val="none" w:sz="0" w:space="0" w:color="auto"/>
            <w:bottom w:val="none" w:sz="0" w:space="0" w:color="auto"/>
            <w:right w:val="none" w:sz="0" w:space="0" w:color="auto"/>
          </w:divBdr>
        </w:div>
        <w:div w:id="1328707797">
          <w:marLeft w:val="0"/>
          <w:marRight w:val="0"/>
          <w:marTop w:val="0"/>
          <w:marBottom w:val="0"/>
          <w:divBdr>
            <w:top w:val="none" w:sz="0" w:space="0" w:color="auto"/>
            <w:left w:val="none" w:sz="0" w:space="0" w:color="auto"/>
            <w:bottom w:val="none" w:sz="0" w:space="0" w:color="auto"/>
            <w:right w:val="none" w:sz="0" w:space="0" w:color="auto"/>
          </w:divBdr>
        </w:div>
        <w:div w:id="1340811110">
          <w:marLeft w:val="0"/>
          <w:marRight w:val="0"/>
          <w:marTop w:val="0"/>
          <w:marBottom w:val="0"/>
          <w:divBdr>
            <w:top w:val="none" w:sz="0" w:space="0" w:color="auto"/>
            <w:left w:val="none" w:sz="0" w:space="0" w:color="auto"/>
            <w:bottom w:val="none" w:sz="0" w:space="0" w:color="auto"/>
            <w:right w:val="none" w:sz="0" w:space="0" w:color="auto"/>
          </w:divBdr>
        </w:div>
        <w:div w:id="1711417950">
          <w:marLeft w:val="0"/>
          <w:marRight w:val="0"/>
          <w:marTop w:val="0"/>
          <w:marBottom w:val="0"/>
          <w:divBdr>
            <w:top w:val="none" w:sz="0" w:space="0" w:color="auto"/>
            <w:left w:val="none" w:sz="0" w:space="0" w:color="auto"/>
            <w:bottom w:val="none" w:sz="0" w:space="0" w:color="auto"/>
            <w:right w:val="none" w:sz="0" w:space="0" w:color="auto"/>
          </w:divBdr>
        </w:div>
        <w:div w:id="1848254461">
          <w:marLeft w:val="0"/>
          <w:marRight w:val="0"/>
          <w:marTop w:val="0"/>
          <w:marBottom w:val="0"/>
          <w:divBdr>
            <w:top w:val="none" w:sz="0" w:space="0" w:color="auto"/>
            <w:left w:val="none" w:sz="0" w:space="0" w:color="auto"/>
            <w:bottom w:val="none" w:sz="0" w:space="0" w:color="auto"/>
            <w:right w:val="none" w:sz="0" w:space="0" w:color="auto"/>
          </w:divBdr>
        </w:div>
        <w:div w:id="1871600672">
          <w:marLeft w:val="0"/>
          <w:marRight w:val="0"/>
          <w:marTop w:val="0"/>
          <w:marBottom w:val="0"/>
          <w:divBdr>
            <w:top w:val="none" w:sz="0" w:space="0" w:color="auto"/>
            <w:left w:val="none" w:sz="0" w:space="0" w:color="auto"/>
            <w:bottom w:val="none" w:sz="0" w:space="0" w:color="auto"/>
            <w:right w:val="none" w:sz="0" w:space="0" w:color="auto"/>
          </w:divBdr>
        </w:div>
        <w:div w:id="1891918607">
          <w:marLeft w:val="0"/>
          <w:marRight w:val="0"/>
          <w:marTop w:val="0"/>
          <w:marBottom w:val="0"/>
          <w:divBdr>
            <w:top w:val="none" w:sz="0" w:space="0" w:color="auto"/>
            <w:left w:val="none" w:sz="0" w:space="0" w:color="auto"/>
            <w:bottom w:val="none" w:sz="0" w:space="0" w:color="auto"/>
            <w:right w:val="none" w:sz="0" w:space="0" w:color="auto"/>
          </w:divBdr>
        </w:div>
      </w:divsChild>
    </w:div>
    <w:div w:id="254942900">
      <w:bodyDiv w:val="1"/>
      <w:marLeft w:val="0"/>
      <w:marRight w:val="0"/>
      <w:marTop w:val="0"/>
      <w:marBottom w:val="0"/>
      <w:divBdr>
        <w:top w:val="none" w:sz="0" w:space="0" w:color="auto"/>
        <w:left w:val="none" w:sz="0" w:space="0" w:color="auto"/>
        <w:bottom w:val="none" w:sz="0" w:space="0" w:color="auto"/>
        <w:right w:val="none" w:sz="0" w:space="0" w:color="auto"/>
      </w:divBdr>
      <w:divsChild>
        <w:div w:id="950891256">
          <w:marLeft w:val="0"/>
          <w:marRight w:val="0"/>
          <w:marTop w:val="0"/>
          <w:marBottom w:val="0"/>
          <w:divBdr>
            <w:top w:val="none" w:sz="0" w:space="0" w:color="auto"/>
            <w:left w:val="none" w:sz="0" w:space="0" w:color="auto"/>
            <w:bottom w:val="none" w:sz="0" w:space="0" w:color="auto"/>
            <w:right w:val="none" w:sz="0" w:space="0" w:color="auto"/>
          </w:divBdr>
        </w:div>
        <w:div w:id="1232617929">
          <w:marLeft w:val="0"/>
          <w:marRight w:val="0"/>
          <w:marTop w:val="0"/>
          <w:marBottom w:val="0"/>
          <w:divBdr>
            <w:top w:val="none" w:sz="0" w:space="0" w:color="auto"/>
            <w:left w:val="none" w:sz="0" w:space="0" w:color="auto"/>
            <w:bottom w:val="none" w:sz="0" w:space="0" w:color="auto"/>
            <w:right w:val="none" w:sz="0" w:space="0" w:color="auto"/>
          </w:divBdr>
        </w:div>
        <w:div w:id="1374115274">
          <w:marLeft w:val="0"/>
          <w:marRight w:val="0"/>
          <w:marTop w:val="0"/>
          <w:marBottom w:val="0"/>
          <w:divBdr>
            <w:top w:val="none" w:sz="0" w:space="0" w:color="auto"/>
            <w:left w:val="none" w:sz="0" w:space="0" w:color="auto"/>
            <w:bottom w:val="none" w:sz="0" w:space="0" w:color="auto"/>
            <w:right w:val="none" w:sz="0" w:space="0" w:color="auto"/>
          </w:divBdr>
        </w:div>
        <w:div w:id="1727610304">
          <w:marLeft w:val="0"/>
          <w:marRight w:val="0"/>
          <w:marTop w:val="0"/>
          <w:marBottom w:val="0"/>
          <w:divBdr>
            <w:top w:val="none" w:sz="0" w:space="0" w:color="auto"/>
            <w:left w:val="none" w:sz="0" w:space="0" w:color="auto"/>
            <w:bottom w:val="none" w:sz="0" w:space="0" w:color="auto"/>
            <w:right w:val="none" w:sz="0" w:space="0" w:color="auto"/>
          </w:divBdr>
        </w:div>
        <w:div w:id="2110081612">
          <w:marLeft w:val="0"/>
          <w:marRight w:val="0"/>
          <w:marTop w:val="0"/>
          <w:marBottom w:val="0"/>
          <w:divBdr>
            <w:top w:val="none" w:sz="0" w:space="0" w:color="auto"/>
            <w:left w:val="none" w:sz="0" w:space="0" w:color="auto"/>
            <w:bottom w:val="none" w:sz="0" w:space="0" w:color="auto"/>
            <w:right w:val="none" w:sz="0" w:space="0" w:color="auto"/>
          </w:divBdr>
        </w:div>
      </w:divsChild>
    </w:div>
    <w:div w:id="362748387">
      <w:bodyDiv w:val="1"/>
      <w:marLeft w:val="0"/>
      <w:marRight w:val="0"/>
      <w:marTop w:val="0"/>
      <w:marBottom w:val="0"/>
      <w:divBdr>
        <w:top w:val="none" w:sz="0" w:space="0" w:color="auto"/>
        <w:left w:val="none" w:sz="0" w:space="0" w:color="auto"/>
        <w:bottom w:val="none" w:sz="0" w:space="0" w:color="auto"/>
        <w:right w:val="none" w:sz="0" w:space="0" w:color="auto"/>
      </w:divBdr>
      <w:divsChild>
        <w:div w:id="966669099">
          <w:marLeft w:val="0"/>
          <w:marRight w:val="0"/>
          <w:marTop w:val="0"/>
          <w:marBottom w:val="0"/>
          <w:divBdr>
            <w:top w:val="none" w:sz="0" w:space="0" w:color="auto"/>
            <w:left w:val="none" w:sz="0" w:space="0" w:color="auto"/>
            <w:bottom w:val="none" w:sz="0" w:space="0" w:color="auto"/>
            <w:right w:val="none" w:sz="0" w:space="0" w:color="auto"/>
          </w:divBdr>
        </w:div>
        <w:div w:id="1842890481">
          <w:marLeft w:val="0"/>
          <w:marRight w:val="0"/>
          <w:marTop w:val="0"/>
          <w:marBottom w:val="0"/>
          <w:divBdr>
            <w:top w:val="none" w:sz="0" w:space="0" w:color="auto"/>
            <w:left w:val="none" w:sz="0" w:space="0" w:color="auto"/>
            <w:bottom w:val="none" w:sz="0" w:space="0" w:color="auto"/>
            <w:right w:val="none" w:sz="0" w:space="0" w:color="auto"/>
          </w:divBdr>
        </w:div>
      </w:divsChild>
    </w:div>
    <w:div w:id="402997061">
      <w:bodyDiv w:val="1"/>
      <w:marLeft w:val="0"/>
      <w:marRight w:val="0"/>
      <w:marTop w:val="0"/>
      <w:marBottom w:val="0"/>
      <w:divBdr>
        <w:top w:val="none" w:sz="0" w:space="0" w:color="auto"/>
        <w:left w:val="none" w:sz="0" w:space="0" w:color="auto"/>
        <w:bottom w:val="none" w:sz="0" w:space="0" w:color="auto"/>
        <w:right w:val="none" w:sz="0" w:space="0" w:color="auto"/>
      </w:divBdr>
      <w:divsChild>
        <w:div w:id="399334317">
          <w:marLeft w:val="0"/>
          <w:marRight w:val="0"/>
          <w:marTop w:val="0"/>
          <w:marBottom w:val="0"/>
          <w:divBdr>
            <w:top w:val="none" w:sz="0" w:space="0" w:color="auto"/>
            <w:left w:val="none" w:sz="0" w:space="0" w:color="auto"/>
            <w:bottom w:val="none" w:sz="0" w:space="0" w:color="auto"/>
            <w:right w:val="none" w:sz="0" w:space="0" w:color="auto"/>
          </w:divBdr>
        </w:div>
        <w:div w:id="1908756987">
          <w:marLeft w:val="0"/>
          <w:marRight w:val="0"/>
          <w:marTop w:val="0"/>
          <w:marBottom w:val="0"/>
          <w:divBdr>
            <w:top w:val="none" w:sz="0" w:space="0" w:color="auto"/>
            <w:left w:val="none" w:sz="0" w:space="0" w:color="auto"/>
            <w:bottom w:val="none" w:sz="0" w:space="0" w:color="auto"/>
            <w:right w:val="none" w:sz="0" w:space="0" w:color="auto"/>
          </w:divBdr>
        </w:div>
      </w:divsChild>
    </w:div>
    <w:div w:id="486869780">
      <w:bodyDiv w:val="1"/>
      <w:marLeft w:val="0"/>
      <w:marRight w:val="0"/>
      <w:marTop w:val="0"/>
      <w:marBottom w:val="0"/>
      <w:divBdr>
        <w:top w:val="none" w:sz="0" w:space="0" w:color="auto"/>
        <w:left w:val="none" w:sz="0" w:space="0" w:color="auto"/>
        <w:bottom w:val="none" w:sz="0" w:space="0" w:color="auto"/>
        <w:right w:val="none" w:sz="0" w:space="0" w:color="auto"/>
      </w:divBdr>
    </w:div>
    <w:div w:id="527254290">
      <w:bodyDiv w:val="1"/>
      <w:marLeft w:val="0"/>
      <w:marRight w:val="0"/>
      <w:marTop w:val="0"/>
      <w:marBottom w:val="0"/>
      <w:divBdr>
        <w:top w:val="none" w:sz="0" w:space="0" w:color="auto"/>
        <w:left w:val="none" w:sz="0" w:space="0" w:color="auto"/>
        <w:bottom w:val="none" w:sz="0" w:space="0" w:color="auto"/>
        <w:right w:val="none" w:sz="0" w:space="0" w:color="auto"/>
      </w:divBdr>
    </w:div>
    <w:div w:id="546180386">
      <w:bodyDiv w:val="1"/>
      <w:marLeft w:val="0"/>
      <w:marRight w:val="0"/>
      <w:marTop w:val="0"/>
      <w:marBottom w:val="0"/>
      <w:divBdr>
        <w:top w:val="none" w:sz="0" w:space="0" w:color="auto"/>
        <w:left w:val="none" w:sz="0" w:space="0" w:color="auto"/>
        <w:bottom w:val="none" w:sz="0" w:space="0" w:color="auto"/>
        <w:right w:val="none" w:sz="0" w:space="0" w:color="auto"/>
      </w:divBdr>
      <w:divsChild>
        <w:div w:id="287899867">
          <w:marLeft w:val="0"/>
          <w:marRight w:val="0"/>
          <w:marTop w:val="0"/>
          <w:marBottom w:val="0"/>
          <w:divBdr>
            <w:top w:val="none" w:sz="0" w:space="0" w:color="auto"/>
            <w:left w:val="none" w:sz="0" w:space="0" w:color="auto"/>
            <w:bottom w:val="none" w:sz="0" w:space="0" w:color="auto"/>
            <w:right w:val="none" w:sz="0" w:space="0" w:color="auto"/>
          </w:divBdr>
        </w:div>
        <w:div w:id="671831732">
          <w:marLeft w:val="0"/>
          <w:marRight w:val="0"/>
          <w:marTop w:val="0"/>
          <w:marBottom w:val="0"/>
          <w:divBdr>
            <w:top w:val="none" w:sz="0" w:space="0" w:color="auto"/>
            <w:left w:val="none" w:sz="0" w:space="0" w:color="auto"/>
            <w:bottom w:val="none" w:sz="0" w:space="0" w:color="auto"/>
            <w:right w:val="none" w:sz="0" w:space="0" w:color="auto"/>
          </w:divBdr>
        </w:div>
        <w:div w:id="1186092091">
          <w:marLeft w:val="0"/>
          <w:marRight w:val="0"/>
          <w:marTop w:val="0"/>
          <w:marBottom w:val="0"/>
          <w:divBdr>
            <w:top w:val="none" w:sz="0" w:space="0" w:color="auto"/>
            <w:left w:val="none" w:sz="0" w:space="0" w:color="auto"/>
            <w:bottom w:val="none" w:sz="0" w:space="0" w:color="auto"/>
            <w:right w:val="none" w:sz="0" w:space="0" w:color="auto"/>
          </w:divBdr>
        </w:div>
        <w:div w:id="1431899734">
          <w:marLeft w:val="0"/>
          <w:marRight w:val="0"/>
          <w:marTop w:val="0"/>
          <w:marBottom w:val="0"/>
          <w:divBdr>
            <w:top w:val="none" w:sz="0" w:space="0" w:color="auto"/>
            <w:left w:val="none" w:sz="0" w:space="0" w:color="auto"/>
            <w:bottom w:val="none" w:sz="0" w:space="0" w:color="auto"/>
            <w:right w:val="none" w:sz="0" w:space="0" w:color="auto"/>
          </w:divBdr>
        </w:div>
        <w:div w:id="1529757224">
          <w:marLeft w:val="0"/>
          <w:marRight w:val="0"/>
          <w:marTop w:val="0"/>
          <w:marBottom w:val="0"/>
          <w:divBdr>
            <w:top w:val="none" w:sz="0" w:space="0" w:color="auto"/>
            <w:left w:val="none" w:sz="0" w:space="0" w:color="auto"/>
            <w:bottom w:val="none" w:sz="0" w:space="0" w:color="auto"/>
            <w:right w:val="none" w:sz="0" w:space="0" w:color="auto"/>
          </w:divBdr>
        </w:div>
        <w:div w:id="1539202104">
          <w:marLeft w:val="0"/>
          <w:marRight w:val="0"/>
          <w:marTop w:val="0"/>
          <w:marBottom w:val="0"/>
          <w:divBdr>
            <w:top w:val="none" w:sz="0" w:space="0" w:color="auto"/>
            <w:left w:val="none" w:sz="0" w:space="0" w:color="auto"/>
            <w:bottom w:val="none" w:sz="0" w:space="0" w:color="auto"/>
            <w:right w:val="none" w:sz="0" w:space="0" w:color="auto"/>
          </w:divBdr>
        </w:div>
        <w:div w:id="1767651632">
          <w:marLeft w:val="0"/>
          <w:marRight w:val="0"/>
          <w:marTop w:val="0"/>
          <w:marBottom w:val="0"/>
          <w:divBdr>
            <w:top w:val="none" w:sz="0" w:space="0" w:color="auto"/>
            <w:left w:val="none" w:sz="0" w:space="0" w:color="auto"/>
            <w:bottom w:val="none" w:sz="0" w:space="0" w:color="auto"/>
            <w:right w:val="none" w:sz="0" w:space="0" w:color="auto"/>
          </w:divBdr>
        </w:div>
        <w:div w:id="1827238190">
          <w:marLeft w:val="0"/>
          <w:marRight w:val="0"/>
          <w:marTop w:val="0"/>
          <w:marBottom w:val="0"/>
          <w:divBdr>
            <w:top w:val="none" w:sz="0" w:space="0" w:color="auto"/>
            <w:left w:val="none" w:sz="0" w:space="0" w:color="auto"/>
            <w:bottom w:val="none" w:sz="0" w:space="0" w:color="auto"/>
            <w:right w:val="none" w:sz="0" w:space="0" w:color="auto"/>
          </w:divBdr>
        </w:div>
        <w:div w:id="1983801514">
          <w:marLeft w:val="0"/>
          <w:marRight w:val="0"/>
          <w:marTop w:val="0"/>
          <w:marBottom w:val="0"/>
          <w:divBdr>
            <w:top w:val="none" w:sz="0" w:space="0" w:color="auto"/>
            <w:left w:val="none" w:sz="0" w:space="0" w:color="auto"/>
            <w:bottom w:val="none" w:sz="0" w:space="0" w:color="auto"/>
            <w:right w:val="none" w:sz="0" w:space="0" w:color="auto"/>
          </w:divBdr>
        </w:div>
        <w:div w:id="2043163015">
          <w:marLeft w:val="0"/>
          <w:marRight w:val="0"/>
          <w:marTop w:val="0"/>
          <w:marBottom w:val="0"/>
          <w:divBdr>
            <w:top w:val="none" w:sz="0" w:space="0" w:color="auto"/>
            <w:left w:val="none" w:sz="0" w:space="0" w:color="auto"/>
            <w:bottom w:val="none" w:sz="0" w:space="0" w:color="auto"/>
            <w:right w:val="none" w:sz="0" w:space="0" w:color="auto"/>
          </w:divBdr>
        </w:div>
        <w:div w:id="2099935394">
          <w:marLeft w:val="0"/>
          <w:marRight w:val="0"/>
          <w:marTop w:val="0"/>
          <w:marBottom w:val="0"/>
          <w:divBdr>
            <w:top w:val="none" w:sz="0" w:space="0" w:color="auto"/>
            <w:left w:val="none" w:sz="0" w:space="0" w:color="auto"/>
            <w:bottom w:val="none" w:sz="0" w:space="0" w:color="auto"/>
            <w:right w:val="none" w:sz="0" w:space="0" w:color="auto"/>
          </w:divBdr>
        </w:div>
        <w:div w:id="2146463674">
          <w:marLeft w:val="0"/>
          <w:marRight w:val="0"/>
          <w:marTop w:val="0"/>
          <w:marBottom w:val="0"/>
          <w:divBdr>
            <w:top w:val="none" w:sz="0" w:space="0" w:color="auto"/>
            <w:left w:val="none" w:sz="0" w:space="0" w:color="auto"/>
            <w:bottom w:val="none" w:sz="0" w:space="0" w:color="auto"/>
            <w:right w:val="none" w:sz="0" w:space="0" w:color="auto"/>
          </w:divBdr>
        </w:div>
      </w:divsChild>
    </w:div>
    <w:div w:id="558244224">
      <w:bodyDiv w:val="1"/>
      <w:marLeft w:val="0"/>
      <w:marRight w:val="0"/>
      <w:marTop w:val="0"/>
      <w:marBottom w:val="0"/>
      <w:divBdr>
        <w:top w:val="none" w:sz="0" w:space="0" w:color="auto"/>
        <w:left w:val="none" w:sz="0" w:space="0" w:color="auto"/>
        <w:bottom w:val="none" w:sz="0" w:space="0" w:color="auto"/>
        <w:right w:val="none" w:sz="0" w:space="0" w:color="auto"/>
      </w:divBdr>
      <w:divsChild>
        <w:div w:id="1131704409">
          <w:marLeft w:val="0"/>
          <w:marRight w:val="0"/>
          <w:marTop w:val="0"/>
          <w:marBottom w:val="0"/>
          <w:divBdr>
            <w:top w:val="none" w:sz="0" w:space="0" w:color="auto"/>
            <w:left w:val="none" w:sz="0" w:space="0" w:color="auto"/>
            <w:bottom w:val="none" w:sz="0" w:space="0" w:color="auto"/>
            <w:right w:val="none" w:sz="0" w:space="0" w:color="auto"/>
          </w:divBdr>
        </w:div>
        <w:div w:id="1728184639">
          <w:marLeft w:val="0"/>
          <w:marRight w:val="0"/>
          <w:marTop w:val="0"/>
          <w:marBottom w:val="0"/>
          <w:divBdr>
            <w:top w:val="none" w:sz="0" w:space="0" w:color="auto"/>
            <w:left w:val="none" w:sz="0" w:space="0" w:color="auto"/>
            <w:bottom w:val="none" w:sz="0" w:space="0" w:color="auto"/>
            <w:right w:val="none" w:sz="0" w:space="0" w:color="auto"/>
          </w:divBdr>
        </w:div>
      </w:divsChild>
    </w:div>
    <w:div w:id="623846121">
      <w:bodyDiv w:val="1"/>
      <w:marLeft w:val="0"/>
      <w:marRight w:val="0"/>
      <w:marTop w:val="0"/>
      <w:marBottom w:val="0"/>
      <w:divBdr>
        <w:top w:val="none" w:sz="0" w:space="0" w:color="auto"/>
        <w:left w:val="none" w:sz="0" w:space="0" w:color="auto"/>
        <w:bottom w:val="none" w:sz="0" w:space="0" w:color="auto"/>
        <w:right w:val="none" w:sz="0" w:space="0" w:color="auto"/>
      </w:divBdr>
      <w:divsChild>
        <w:div w:id="1263685468">
          <w:marLeft w:val="0"/>
          <w:marRight w:val="0"/>
          <w:marTop w:val="0"/>
          <w:marBottom w:val="0"/>
          <w:divBdr>
            <w:top w:val="none" w:sz="0" w:space="0" w:color="auto"/>
            <w:left w:val="none" w:sz="0" w:space="0" w:color="auto"/>
            <w:bottom w:val="none" w:sz="0" w:space="0" w:color="auto"/>
            <w:right w:val="none" w:sz="0" w:space="0" w:color="auto"/>
          </w:divBdr>
        </w:div>
        <w:div w:id="1676153649">
          <w:marLeft w:val="0"/>
          <w:marRight w:val="0"/>
          <w:marTop w:val="0"/>
          <w:marBottom w:val="0"/>
          <w:divBdr>
            <w:top w:val="none" w:sz="0" w:space="0" w:color="auto"/>
            <w:left w:val="none" w:sz="0" w:space="0" w:color="auto"/>
            <w:bottom w:val="none" w:sz="0" w:space="0" w:color="auto"/>
            <w:right w:val="none" w:sz="0" w:space="0" w:color="auto"/>
          </w:divBdr>
        </w:div>
      </w:divsChild>
    </w:div>
    <w:div w:id="718938619">
      <w:bodyDiv w:val="1"/>
      <w:marLeft w:val="0"/>
      <w:marRight w:val="0"/>
      <w:marTop w:val="0"/>
      <w:marBottom w:val="0"/>
      <w:divBdr>
        <w:top w:val="none" w:sz="0" w:space="0" w:color="auto"/>
        <w:left w:val="none" w:sz="0" w:space="0" w:color="auto"/>
        <w:bottom w:val="none" w:sz="0" w:space="0" w:color="auto"/>
        <w:right w:val="none" w:sz="0" w:space="0" w:color="auto"/>
      </w:divBdr>
      <w:divsChild>
        <w:div w:id="815342711">
          <w:marLeft w:val="0"/>
          <w:marRight w:val="0"/>
          <w:marTop w:val="0"/>
          <w:marBottom w:val="0"/>
          <w:divBdr>
            <w:top w:val="none" w:sz="0" w:space="0" w:color="auto"/>
            <w:left w:val="none" w:sz="0" w:space="0" w:color="auto"/>
            <w:bottom w:val="none" w:sz="0" w:space="0" w:color="auto"/>
            <w:right w:val="none" w:sz="0" w:space="0" w:color="auto"/>
          </w:divBdr>
        </w:div>
        <w:div w:id="1824393908">
          <w:marLeft w:val="0"/>
          <w:marRight w:val="0"/>
          <w:marTop w:val="0"/>
          <w:marBottom w:val="0"/>
          <w:divBdr>
            <w:top w:val="none" w:sz="0" w:space="0" w:color="auto"/>
            <w:left w:val="none" w:sz="0" w:space="0" w:color="auto"/>
            <w:bottom w:val="none" w:sz="0" w:space="0" w:color="auto"/>
            <w:right w:val="none" w:sz="0" w:space="0" w:color="auto"/>
          </w:divBdr>
        </w:div>
      </w:divsChild>
    </w:div>
    <w:div w:id="722605180">
      <w:bodyDiv w:val="1"/>
      <w:marLeft w:val="0"/>
      <w:marRight w:val="0"/>
      <w:marTop w:val="0"/>
      <w:marBottom w:val="0"/>
      <w:divBdr>
        <w:top w:val="none" w:sz="0" w:space="0" w:color="auto"/>
        <w:left w:val="none" w:sz="0" w:space="0" w:color="auto"/>
        <w:bottom w:val="none" w:sz="0" w:space="0" w:color="auto"/>
        <w:right w:val="none" w:sz="0" w:space="0" w:color="auto"/>
      </w:divBdr>
      <w:divsChild>
        <w:div w:id="99684212">
          <w:marLeft w:val="0"/>
          <w:marRight w:val="0"/>
          <w:marTop w:val="0"/>
          <w:marBottom w:val="0"/>
          <w:divBdr>
            <w:top w:val="none" w:sz="0" w:space="0" w:color="auto"/>
            <w:left w:val="none" w:sz="0" w:space="0" w:color="auto"/>
            <w:bottom w:val="none" w:sz="0" w:space="0" w:color="auto"/>
            <w:right w:val="none" w:sz="0" w:space="0" w:color="auto"/>
          </w:divBdr>
        </w:div>
        <w:div w:id="218246170">
          <w:marLeft w:val="0"/>
          <w:marRight w:val="0"/>
          <w:marTop w:val="0"/>
          <w:marBottom w:val="0"/>
          <w:divBdr>
            <w:top w:val="none" w:sz="0" w:space="0" w:color="auto"/>
            <w:left w:val="none" w:sz="0" w:space="0" w:color="auto"/>
            <w:bottom w:val="none" w:sz="0" w:space="0" w:color="auto"/>
            <w:right w:val="none" w:sz="0" w:space="0" w:color="auto"/>
          </w:divBdr>
        </w:div>
        <w:div w:id="389155425">
          <w:marLeft w:val="0"/>
          <w:marRight w:val="0"/>
          <w:marTop w:val="0"/>
          <w:marBottom w:val="0"/>
          <w:divBdr>
            <w:top w:val="none" w:sz="0" w:space="0" w:color="auto"/>
            <w:left w:val="none" w:sz="0" w:space="0" w:color="auto"/>
            <w:bottom w:val="none" w:sz="0" w:space="0" w:color="auto"/>
            <w:right w:val="none" w:sz="0" w:space="0" w:color="auto"/>
          </w:divBdr>
        </w:div>
        <w:div w:id="800344706">
          <w:marLeft w:val="0"/>
          <w:marRight w:val="0"/>
          <w:marTop w:val="0"/>
          <w:marBottom w:val="0"/>
          <w:divBdr>
            <w:top w:val="none" w:sz="0" w:space="0" w:color="auto"/>
            <w:left w:val="none" w:sz="0" w:space="0" w:color="auto"/>
            <w:bottom w:val="none" w:sz="0" w:space="0" w:color="auto"/>
            <w:right w:val="none" w:sz="0" w:space="0" w:color="auto"/>
          </w:divBdr>
        </w:div>
        <w:div w:id="1166702361">
          <w:marLeft w:val="0"/>
          <w:marRight w:val="0"/>
          <w:marTop w:val="0"/>
          <w:marBottom w:val="0"/>
          <w:divBdr>
            <w:top w:val="none" w:sz="0" w:space="0" w:color="auto"/>
            <w:left w:val="none" w:sz="0" w:space="0" w:color="auto"/>
            <w:bottom w:val="none" w:sz="0" w:space="0" w:color="auto"/>
            <w:right w:val="none" w:sz="0" w:space="0" w:color="auto"/>
          </w:divBdr>
        </w:div>
        <w:div w:id="1276984128">
          <w:marLeft w:val="0"/>
          <w:marRight w:val="0"/>
          <w:marTop w:val="0"/>
          <w:marBottom w:val="0"/>
          <w:divBdr>
            <w:top w:val="none" w:sz="0" w:space="0" w:color="auto"/>
            <w:left w:val="none" w:sz="0" w:space="0" w:color="auto"/>
            <w:bottom w:val="none" w:sz="0" w:space="0" w:color="auto"/>
            <w:right w:val="none" w:sz="0" w:space="0" w:color="auto"/>
          </w:divBdr>
        </w:div>
        <w:div w:id="1652440987">
          <w:marLeft w:val="0"/>
          <w:marRight w:val="0"/>
          <w:marTop w:val="0"/>
          <w:marBottom w:val="0"/>
          <w:divBdr>
            <w:top w:val="none" w:sz="0" w:space="0" w:color="auto"/>
            <w:left w:val="none" w:sz="0" w:space="0" w:color="auto"/>
            <w:bottom w:val="none" w:sz="0" w:space="0" w:color="auto"/>
            <w:right w:val="none" w:sz="0" w:space="0" w:color="auto"/>
          </w:divBdr>
        </w:div>
      </w:divsChild>
    </w:div>
    <w:div w:id="805776112">
      <w:bodyDiv w:val="1"/>
      <w:marLeft w:val="0"/>
      <w:marRight w:val="0"/>
      <w:marTop w:val="0"/>
      <w:marBottom w:val="0"/>
      <w:divBdr>
        <w:top w:val="none" w:sz="0" w:space="0" w:color="auto"/>
        <w:left w:val="none" w:sz="0" w:space="0" w:color="auto"/>
        <w:bottom w:val="none" w:sz="0" w:space="0" w:color="auto"/>
        <w:right w:val="none" w:sz="0" w:space="0" w:color="auto"/>
      </w:divBdr>
      <w:divsChild>
        <w:div w:id="7342052">
          <w:marLeft w:val="0"/>
          <w:marRight w:val="0"/>
          <w:marTop w:val="0"/>
          <w:marBottom w:val="0"/>
          <w:divBdr>
            <w:top w:val="none" w:sz="0" w:space="0" w:color="auto"/>
            <w:left w:val="none" w:sz="0" w:space="0" w:color="auto"/>
            <w:bottom w:val="none" w:sz="0" w:space="0" w:color="auto"/>
            <w:right w:val="none" w:sz="0" w:space="0" w:color="auto"/>
          </w:divBdr>
        </w:div>
        <w:div w:id="373624524">
          <w:marLeft w:val="0"/>
          <w:marRight w:val="0"/>
          <w:marTop w:val="0"/>
          <w:marBottom w:val="0"/>
          <w:divBdr>
            <w:top w:val="none" w:sz="0" w:space="0" w:color="auto"/>
            <w:left w:val="none" w:sz="0" w:space="0" w:color="auto"/>
            <w:bottom w:val="none" w:sz="0" w:space="0" w:color="auto"/>
            <w:right w:val="none" w:sz="0" w:space="0" w:color="auto"/>
          </w:divBdr>
        </w:div>
        <w:div w:id="515584263">
          <w:marLeft w:val="0"/>
          <w:marRight w:val="0"/>
          <w:marTop w:val="0"/>
          <w:marBottom w:val="0"/>
          <w:divBdr>
            <w:top w:val="none" w:sz="0" w:space="0" w:color="auto"/>
            <w:left w:val="none" w:sz="0" w:space="0" w:color="auto"/>
            <w:bottom w:val="none" w:sz="0" w:space="0" w:color="auto"/>
            <w:right w:val="none" w:sz="0" w:space="0" w:color="auto"/>
          </w:divBdr>
        </w:div>
        <w:div w:id="850486213">
          <w:marLeft w:val="0"/>
          <w:marRight w:val="0"/>
          <w:marTop w:val="0"/>
          <w:marBottom w:val="0"/>
          <w:divBdr>
            <w:top w:val="none" w:sz="0" w:space="0" w:color="auto"/>
            <w:left w:val="none" w:sz="0" w:space="0" w:color="auto"/>
            <w:bottom w:val="none" w:sz="0" w:space="0" w:color="auto"/>
            <w:right w:val="none" w:sz="0" w:space="0" w:color="auto"/>
          </w:divBdr>
        </w:div>
      </w:divsChild>
    </w:div>
    <w:div w:id="889456481">
      <w:bodyDiv w:val="1"/>
      <w:marLeft w:val="0"/>
      <w:marRight w:val="0"/>
      <w:marTop w:val="0"/>
      <w:marBottom w:val="0"/>
      <w:divBdr>
        <w:top w:val="none" w:sz="0" w:space="0" w:color="auto"/>
        <w:left w:val="none" w:sz="0" w:space="0" w:color="auto"/>
        <w:bottom w:val="none" w:sz="0" w:space="0" w:color="auto"/>
        <w:right w:val="none" w:sz="0" w:space="0" w:color="auto"/>
      </w:divBdr>
      <w:divsChild>
        <w:div w:id="243340623">
          <w:marLeft w:val="0"/>
          <w:marRight w:val="0"/>
          <w:marTop w:val="0"/>
          <w:marBottom w:val="0"/>
          <w:divBdr>
            <w:top w:val="none" w:sz="0" w:space="0" w:color="auto"/>
            <w:left w:val="none" w:sz="0" w:space="0" w:color="auto"/>
            <w:bottom w:val="none" w:sz="0" w:space="0" w:color="auto"/>
            <w:right w:val="none" w:sz="0" w:space="0" w:color="auto"/>
          </w:divBdr>
        </w:div>
        <w:div w:id="274560409">
          <w:marLeft w:val="0"/>
          <w:marRight w:val="0"/>
          <w:marTop w:val="0"/>
          <w:marBottom w:val="0"/>
          <w:divBdr>
            <w:top w:val="none" w:sz="0" w:space="0" w:color="auto"/>
            <w:left w:val="none" w:sz="0" w:space="0" w:color="auto"/>
            <w:bottom w:val="none" w:sz="0" w:space="0" w:color="auto"/>
            <w:right w:val="none" w:sz="0" w:space="0" w:color="auto"/>
          </w:divBdr>
        </w:div>
        <w:div w:id="317341865">
          <w:marLeft w:val="0"/>
          <w:marRight w:val="0"/>
          <w:marTop w:val="0"/>
          <w:marBottom w:val="0"/>
          <w:divBdr>
            <w:top w:val="none" w:sz="0" w:space="0" w:color="auto"/>
            <w:left w:val="none" w:sz="0" w:space="0" w:color="auto"/>
            <w:bottom w:val="none" w:sz="0" w:space="0" w:color="auto"/>
            <w:right w:val="none" w:sz="0" w:space="0" w:color="auto"/>
          </w:divBdr>
        </w:div>
        <w:div w:id="941299584">
          <w:marLeft w:val="0"/>
          <w:marRight w:val="0"/>
          <w:marTop w:val="0"/>
          <w:marBottom w:val="0"/>
          <w:divBdr>
            <w:top w:val="none" w:sz="0" w:space="0" w:color="auto"/>
            <w:left w:val="none" w:sz="0" w:space="0" w:color="auto"/>
            <w:bottom w:val="none" w:sz="0" w:space="0" w:color="auto"/>
            <w:right w:val="none" w:sz="0" w:space="0" w:color="auto"/>
          </w:divBdr>
        </w:div>
      </w:divsChild>
    </w:div>
    <w:div w:id="895892313">
      <w:bodyDiv w:val="1"/>
      <w:marLeft w:val="0"/>
      <w:marRight w:val="0"/>
      <w:marTop w:val="0"/>
      <w:marBottom w:val="0"/>
      <w:divBdr>
        <w:top w:val="none" w:sz="0" w:space="0" w:color="auto"/>
        <w:left w:val="none" w:sz="0" w:space="0" w:color="auto"/>
        <w:bottom w:val="none" w:sz="0" w:space="0" w:color="auto"/>
        <w:right w:val="none" w:sz="0" w:space="0" w:color="auto"/>
      </w:divBdr>
      <w:divsChild>
        <w:div w:id="217860146">
          <w:marLeft w:val="0"/>
          <w:marRight w:val="0"/>
          <w:marTop w:val="0"/>
          <w:marBottom w:val="0"/>
          <w:divBdr>
            <w:top w:val="none" w:sz="0" w:space="0" w:color="auto"/>
            <w:left w:val="none" w:sz="0" w:space="0" w:color="auto"/>
            <w:bottom w:val="none" w:sz="0" w:space="0" w:color="auto"/>
            <w:right w:val="none" w:sz="0" w:space="0" w:color="auto"/>
          </w:divBdr>
        </w:div>
        <w:div w:id="403375969">
          <w:marLeft w:val="0"/>
          <w:marRight w:val="0"/>
          <w:marTop w:val="0"/>
          <w:marBottom w:val="0"/>
          <w:divBdr>
            <w:top w:val="none" w:sz="0" w:space="0" w:color="auto"/>
            <w:left w:val="none" w:sz="0" w:space="0" w:color="auto"/>
            <w:bottom w:val="none" w:sz="0" w:space="0" w:color="auto"/>
            <w:right w:val="none" w:sz="0" w:space="0" w:color="auto"/>
          </w:divBdr>
        </w:div>
      </w:divsChild>
    </w:div>
    <w:div w:id="925043276">
      <w:bodyDiv w:val="1"/>
      <w:marLeft w:val="0"/>
      <w:marRight w:val="0"/>
      <w:marTop w:val="0"/>
      <w:marBottom w:val="0"/>
      <w:divBdr>
        <w:top w:val="none" w:sz="0" w:space="0" w:color="auto"/>
        <w:left w:val="none" w:sz="0" w:space="0" w:color="auto"/>
        <w:bottom w:val="none" w:sz="0" w:space="0" w:color="auto"/>
        <w:right w:val="none" w:sz="0" w:space="0" w:color="auto"/>
      </w:divBdr>
      <w:divsChild>
        <w:div w:id="422530590">
          <w:marLeft w:val="0"/>
          <w:marRight w:val="0"/>
          <w:marTop w:val="0"/>
          <w:marBottom w:val="0"/>
          <w:divBdr>
            <w:top w:val="none" w:sz="0" w:space="0" w:color="auto"/>
            <w:left w:val="none" w:sz="0" w:space="0" w:color="auto"/>
            <w:bottom w:val="none" w:sz="0" w:space="0" w:color="auto"/>
            <w:right w:val="none" w:sz="0" w:space="0" w:color="auto"/>
          </w:divBdr>
        </w:div>
        <w:div w:id="1633365784">
          <w:marLeft w:val="0"/>
          <w:marRight w:val="0"/>
          <w:marTop w:val="0"/>
          <w:marBottom w:val="0"/>
          <w:divBdr>
            <w:top w:val="none" w:sz="0" w:space="0" w:color="auto"/>
            <w:left w:val="none" w:sz="0" w:space="0" w:color="auto"/>
            <w:bottom w:val="none" w:sz="0" w:space="0" w:color="auto"/>
            <w:right w:val="none" w:sz="0" w:space="0" w:color="auto"/>
          </w:divBdr>
        </w:div>
      </w:divsChild>
    </w:div>
    <w:div w:id="948777522">
      <w:bodyDiv w:val="1"/>
      <w:marLeft w:val="0"/>
      <w:marRight w:val="0"/>
      <w:marTop w:val="0"/>
      <w:marBottom w:val="0"/>
      <w:divBdr>
        <w:top w:val="none" w:sz="0" w:space="0" w:color="auto"/>
        <w:left w:val="none" w:sz="0" w:space="0" w:color="auto"/>
        <w:bottom w:val="none" w:sz="0" w:space="0" w:color="auto"/>
        <w:right w:val="none" w:sz="0" w:space="0" w:color="auto"/>
      </w:divBdr>
      <w:divsChild>
        <w:div w:id="332875860">
          <w:marLeft w:val="0"/>
          <w:marRight w:val="0"/>
          <w:marTop w:val="0"/>
          <w:marBottom w:val="0"/>
          <w:divBdr>
            <w:top w:val="none" w:sz="0" w:space="0" w:color="auto"/>
            <w:left w:val="none" w:sz="0" w:space="0" w:color="auto"/>
            <w:bottom w:val="none" w:sz="0" w:space="0" w:color="auto"/>
            <w:right w:val="none" w:sz="0" w:space="0" w:color="auto"/>
          </w:divBdr>
        </w:div>
        <w:div w:id="1092243982">
          <w:marLeft w:val="0"/>
          <w:marRight w:val="0"/>
          <w:marTop w:val="0"/>
          <w:marBottom w:val="0"/>
          <w:divBdr>
            <w:top w:val="none" w:sz="0" w:space="0" w:color="auto"/>
            <w:left w:val="none" w:sz="0" w:space="0" w:color="auto"/>
            <w:bottom w:val="none" w:sz="0" w:space="0" w:color="auto"/>
            <w:right w:val="none" w:sz="0" w:space="0" w:color="auto"/>
          </w:divBdr>
        </w:div>
        <w:div w:id="1483504627">
          <w:marLeft w:val="0"/>
          <w:marRight w:val="0"/>
          <w:marTop w:val="0"/>
          <w:marBottom w:val="0"/>
          <w:divBdr>
            <w:top w:val="none" w:sz="0" w:space="0" w:color="auto"/>
            <w:left w:val="none" w:sz="0" w:space="0" w:color="auto"/>
            <w:bottom w:val="none" w:sz="0" w:space="0" w:color="auto"/>
            <w:right w:val="none" w:sz="0" w:space="0" w:color="auto"/>
          </w:divBdr>
        </w:div>
      </w:divsChild>
    </w:div>
    <w:div w:id="1011835457">
      <w:bodyDiv w:val="1"/>
      <w:marLeft w:val="0"/>
      <w:marRight w:val="0"/>
      <w:marTop w:val="0"/>
      <w:marBottom w:val="0"/>
      <w:divBdr>
        <w:top w:val="none" w:sz="0" w:space="0" w:color="auto"/>
        <w:left w:val="none" w:sz="0" w:space="0" w:color="auto"/>
        <w:bottom w:val="none" w:sz="0" w:space="0" w:color="auto"/>
        <w:right w:val="none" w:sz="0" w:space="0" w:color="auto"/>
      </w:divBdr>
      <w:divsChild>
        <w:div w:id="154994671">
          <w:marLeft w:val="0"/>
          <w:marRight w:val="0"/>
          <w:marTop w:val="0"/>
          <w:marBottom w:val="0"/>
          <w:divBdr>
            <w:top w:val="none" w:sz="0" w:space="0" w:color="auto"/>
            <w:left w:val="none" w:sz="0" w:space="0" w:color="auto"/>
            <w:bottom w:val="none" w:sz="0" w:space="0" w:color="auto"/>
            <w:right w:val="none" w:sz="0" w:space="0" w:color="auto"/>
          </w:divBdr>
        </w:div>
        <w:div w:id="500970623">
          <w:marLeft w:val="0"/>
          <w:marRight w:val="0"/>
          <w:marTop w:val="0"/>
          <w:marBottom w:val="0"/>
          <w:divBdr>
            <w:top w:val="none" w:sz="0" w:space="0" w:color="auto"/>
            <w:left w:val="none" w:sz="0" w:space="0" w:color="auto"/>
            <w:bottom w:val="none" w:sz="0" w:space="0" w:color="auto"/>
            <w:right w:val="none" w:sz="0" w:space="0" w:color="auto"/>
          </w:divBdr>
        </w:div>
        <w:div w:id="1864244094">
          <w:marLeft w:val="0"/>
          <w:marRight w:val="0"/>
          <w:marTop w:val="0"/>
          <w:marBottom w:val="0"/>
          <w:divBdr>
            <w:top w:val="none" w:sz="0" w:space="0" w:color="auto"/>
            <w:left w:val="none" w:sz="0" w:space="0" w:color="auto"/>
            <w:bottom w:val="none" w:sz="0" w:space="0" w:color="auto"/>
            <w:right w:val="none" w:sz="0" w:space="0" w:color="auto"/>
          </w:divBdr>
        </w:div>
      </w:divsChild>
    </w:div>
    <w:div w:id="1073619593">
      <w:bodyDiv w:val="1"/>
      <w:marLeft w:val="0"/>
      <w:marRight w:val="0"/>
      <w:marTop w:val="0"/>
      <w:marBottom w:val="0"/>
      <w:divBdr>
        <w:top w:val="none" w:sz="0" w:space="0" w:color="auto"/>
        <w:left w:val="none" w:sz="0" w:space="0" w:color="auto"/>
        <w:bottom w:val="none" w:sz="0" w:space="0" w:color="auto"/>
        <w:right w:val="none" w:sz="0" w:space="0" w:color="auto"/>
      </w:divBdr>
      <w:divsChild>
        <w:div w:id="195046414">
          <w:marLeft w:val="0"/>
          <w:marRight w:val="0"/>
          <w:marTop w:val="0"/>
          <w:marBottom w:val="0"/>
          <w:divBdr>
            <w:top w:val="none" w:sz="0" w:space="0" w:color="auto"/>
            <w:left w:val="none" w:sz="0" w:space="0" w:color="auto"/>
            <w:bottom w:val="none" w:sz="0" w:space="0" w:color="auto"/>
            <w:right w:val="none" w:sz="0" w:space="0" w:color="auto"/>
          </w:divBdr>
        </w:div>
        <w:div w:id="624041030">
          <w:marLeft w:val="0"/>
          <w:marRight w:val="0"/>
          <w:marTop w:val="0"/>
          <w:marBottom w:val="0"/>
          <w:divBdr>
            <w:top w:val="none" w:sz="0" w:space="0" w:color="auto"/>
            <w:left w:val="none" w:sz="0" w:space="0" w:color="auto"/>
            <w:bottom w:val="none" w:sz="0" w:space="0" w:color="auto"/>
            <w:right w:val="none" w:sz="0" w:space="0" w:color="auto"/>
          </w:divBdr>
        </w:div>
        <w:div w:id="1028720011">
          <w:marLeft w:val="0"/>
          <w:marRight w:val="0"/>
          <w:marTop w:val="0"/>
          <w:marBottom w:val="0"/>
          <w:divBdr>
            <w:top w:val="none" w:sz="0" w:space="0" w:color="auto"/>
            <w:left w:val="none" w:sz="0" w:space="0" w:color="auto"/>
            <w:bottom w:val="none" w:sz="0" w:space="0" w:color="auto"/>
            <w:right w:val="none" w:sz="0" w:space="0" w:color="auto"/>
          </w:divBdr>
        </w:div>
        <w:div w:id="1103575164">
          <w:marLeft w:val="0"/>
          <w:marRight w:val="0"/>
          <w:marTop w:val="0"/>
          <w:marBottom w:val="0"/>
          <w:divBdr>
            <w:top w:val="none" w:sz="0" w:space="0" w:color="auto"/>
            <w:left w:val="none" w:sz="0" w:space="0" w:color="auto"/>
            <w:bottom w:val="none" w:sz="0" w:space="0" w:color="auto"/>
            <w:right w:val="none" w:sz="0" w:space="0" w:color="auto"/>
          </w:divBdr>
        </w:div>
        <w:div w:id="1490556467">
          <w:marLeft w:val="0"/>
          <w:marRight w:val="0"/>
          <w:marTop w:val="0"/>
          <w:marBottom w:val="0"/>
          <w:divBdr>
            <w:top w:val="none" w:sz="0" w:space="0" w:color="auto"/>
            <w:left w:val="none" w:sz="0" w:space="0" w:color="auto"/>
            <w:bottom w:val="none" w:sz="0" w:space="0" w:color="auto"/>
            <w:right w:val="none" w:sz="0" w:space="0" w:color="auto"/>
          </w:divBdr>
        </w:div>
      </w:divsChild>
    </w:div>
    <w:div w:id="1175997133">
      <w:bodyDiv w:val="1"/>
      <w:marLeft w:val="0"/>
      <w:marRight w:val="0"/>
      <w:marTop w:val="0"/>
      <w:marBottom w:val="0"/>
      <w:divBdr>
        <w:top w:val="none" w:sz="0" w:space="0" w:color="auto"/>
        <w:left w:val="none" w:sz="0" w:space="0" w:color="auto"/>
        <w:bottom w:val="none" w:sz="0" w:space="0" w:color="auto"/>
        <w:right w:val="none" w:sz="0" w:space="0" w:color="auto"/>
      </w:divBdr>
      <w:divsChild>
        <w:div w:id="791242856">
          <w:marLeft w:val="0"/>
          <w:marRight w:val="0"/>
          <w:marTop w:val="0"/>
          <w:marBottom w:val="0"/>
          <w:divBdr>
            <w:top w:val="none" w:sz="0" w:space="0" w:color="auto"/>
            <w:left w:val="none" w:sz="0" w:space="0" w:color="auto"/>
            <w:bottom w:val="none" w:sz="0" w:space="0" w:color="auto"/>
            <w:right w:val="none" w:sz="0" w:space="0" w:color="auto"/>
          </w:divBdr>
        </w:div>
        <w:div w:id="1920627942">
          <w:marLeft w:val="0"/>
          <w:marRight w:val="0"/>
          <w:marTop w:val="0"/>
          <w:marBottom w:val="0"/>
          <w:divBdr>
            <w:top w:val="none" w:sz="0" w:space="0" w:color="auto"/>
            <w:left w:val="none" w:sz="0" w:space="0" w:color="auto"/>
            <w:bottom w:val="none" w:sz="0" w:space="0" w:color="auto"/>
            <w:right w:val="none" w:sz="0" w:space="0" w:color="auto"/>
          </w:divBdr>
        </w:div>
      </w:divsChild>
    </w:div>
    <w:div w:id="1207178352">
      <w:bodyDiv w:val="1"/>
      <w:marLeft w:val="0"/>
      <w:marRight w:val="0"/>
      <w:marTop w:val="0"/>
      <w:marBottom w:val="0"/>
      <w:divBdr>
        <w:top w:val="none" w:sz="0" w:space="0" w:color="auto"/>
        <w:left w:val="none" w:sz="0" w:space="0" w:color="auto"/>
        <w:bottom w:val="none" w:sz="0" w:space="0" w:color="auto"/>
        <w:right w:val="none" w:sz="0" w:space="0" w:color="auto"/>
      </w:divBdr>
    </w:div>
    <w:div w:id="1292710988">
      <w:bodyDiv w:val="1"/>
      <w:marLeft w:val="0"/>
      <w:marRight w:val="0"/>
      <w:marTop w:val="0"/>
      <w:marBottom w:val="0"/>
      <w:divBdr>
        <w:top w:val="none" w:sz="0" w:space="0" w:color="auto"/>
        <w:left w:val="none" w:sz="0" w:space="0" w:color="auto"/>
        <w:bottom w:val="none" w:sz="0" w:space="0" w:color="auto"/>
        <w:right w:val="none" w:sz="0" w:space="0" w:color="auto"/>
      </w:divBdr>
      <w:divsChild>
        <w:div w:id="120535326">
          <w:marLeft w:val="0"/>
          <w:marRight w:val="0"/>
          <w:marTop w:val="0"/>
          <w:marBottom w:val="0"/>
          <w:divBdr>
            <w:top w:val="none" w:sz="0" w:space="0" w:color="auto"/>
            <w:left w:val="none" w:sz="0" w:space="0" w:color="auto"/>
            <w:bottom w:val="none" w:sz="0" w:space="0" w:color="auto"/>
            <w:right w:val="none" w:sz="0" w:space="0" w:color="auto"/>
          </w:divBdr>
        </w:div>
        <w:div w:id="1640763884">
          <w:marLeft w:val="0"/>
          <w:marRight w:val="0"/>
          <w:marTop w:val="0"/>
          <w:marBottom w:val="0"/>
          <w:divBdr>
            <w:top w:val="none" w:sz="0" w:space="0" w:color="auto"/>
            <w:left w:val="none" w:sz="0" w:space="0" w:color="auto"/>
            <w:bottom w:val="none" w:sz="0" w:space="0" w:color="auto"/>
            <w:right w:val="none" w:sz="0" w:space="0" w:color="auto"/>
          </w:divBdr>
        </w:div>
      </w:divsChild>
    </w:div>
    <w:div w:id="1312564487">
      <w:bodyDiv w:val="1"/>
      <w:marLeft w:val="0"/>
      <w:marRight w:val="0"/>
      <w:marTop w:val="0"/>
      <w:marBottom w:val="0"/>
      <w:divBdr>
        <w:top w:val="none" w:sz="0" w:space="0" w:color="auto"/>
        <w:left w:val="none" w:sz="0" w:space="0" w:color="auto"/>
        <w:bottom w:val="none" w:sz="0" w:space="0" w:color="auto"/>
        <w:right w:val="none" w:sz="0" w:space="0" w:color="auto"/>
      </w:divBdr>
      <w:divsChild>
        <w:div w:id="420029785">
          <w:marLeft w:val="0"/>
          <w:marRight w:val="0"/>
          <w:marTop w:val="0"/>
          <w:marBottom w:val="0"/>
          <w:divBdr>
            <w:top w:val="none" w:sz="0" w:space="0" w:color="auto"/>
            <w:left w:val="none" w:sz="0" w:space="0" w:color="auto"/>
            <w:bottom w:val="none" w:sz="0" w:space="0" w:color="auto"/>
            <w:right w:val="none" w:sz="0" w:space="0" w:color="auto"/>
          </w:divBdr>
        </w:div>
        <w:div w:id="933167293">
          <w:marLeft w:val="0"/>
          <w:marRight w:val="0"/>
          <w:marTop w:val="0"/>
          <w:marBottom w:val="0"/>
          <w:divBdr>
            <w:top w:val="none" w:sz="0" w:space="0" w:color="auto"/>
            <w:left w:val="none" w:sz="0" w:space="0" w:color="auto"/>
            <w:bottom w:val="none" w:sz="0" w:space="0" w:color="auto"/>
            <w:right w:val="none" w:sz="0" w:space="0" w:color="auto"/>
          </w:divBdr>
        </w:div>
        <w:div w:id="1042055081">
          <w:marLeft w:val="0"/>
          <w:marRight w:val="0"/>
          <w:marTop w:val="0"/>
          <w:marBottom w:val="0"/>
          <w:divBdr>
            <w:top w:val="none" w:sz="0" w:space="0" w:color="auto"/>
            <w:left w:val="none" w:sz="0" w:space="0" w:color="auto"/>
            <w:bottom w:val="none" w:sz="0" w:space="0" w:color="auto"/>
            <w:right w:val="none" w:sz="0" w:space="0" w:color="auto"/>
          </w:divBdr>
        </w:div>
        <w:div w:id="1403024248">
          <w:marLeft w:val="0"/>
          <w:marRight w:val="0"/>
          <w:marTop w:val="0"/>
          <w:marBottom w:val="0"/>
          <w:divBdr>
            <w:top w:val="none" w:sz="0" w:space="0" w:color="auto"/>
            <w:left w:val="none" w:sz="0" w:space="0" w:color="auto"/>
            <w:bottom w:val="none" w:sz="0" w:space="0" w:color="auto"/>
            <w:right w:val="none" w:sz="0" w:space="0" w:color="auto"/>
          </w:divBdr>
        </w:div>
        <w:div w:id="1871450845">
          <w:marLeft w:val="0"/>
          <w:marRight w:val="0"/>
          <w:marTop w:val="0"/>
          <w:marBottom w:val="0"/>
          <w:divBdr>
            <w:top w:val="none" w:sz="0" w:space="0" w:color="auto"/>
            <w:left w:val="none" w:sz="0" w:space="0" w:color="auto"/>
            <w:bottom w:val="none" w:sz="0" w:space="0" w:color="auto"/>
            <w:right w:val="none" w:sz="0" w:space="0" w:color="auto"/>
          </w:divBdr>
        </w:div>
      </w:divsChild>
    </w:div>
    <w:div w:id="1388214339">
      <w:bodyDiv w:val="1"/>
      <w:marLeft w:val="0"/>
      <w:marRight w:val="0"/>
      <w:marTop w:val="0"/>
      <w:marBottom w:val="0"/>
      <w:divBdr>
        <w:top w:val="none" w:sz="0" w:space="0" w:color="auto"/>
        <w:left w:val="none" w:sz="0" w:space="0" w:color="auto"/>
        <w:bottom w:val="none" w:sz="0" w:space="0" w:color="auto"/>
        <w:right w:val="none" w:sz="0" w:space="0" w:color="auto"/>
      </w:divBdr>
      <w:divsChild>
        <w:div w:id="388850063">
          <w:marLeft w:val="0"/>
          <w:marRight w:val="0"/>
          <w:marTop w:val="0"/>
          <w:marBottom w:val="0"/>
          <w:divBdr>
            <w:top w:val="none" w:sz="0" w:space="0" w:color="auto"/>
            <w:left w:val="none" w:sz="0" w:space="0" w:color="auto"/>
            <w:bottom w:val="none" w:sz="0" w:space="0" w:color="auto"/>
            <w:right w:val="none" w:sz="0" w:space="0" w:color="auto"/>
          </w:divBdr>
        </w:div>
        <w:div w:id="1560172003">
          <w:marLeft w:val="0"/>
          <w:marRight w:val="0"/>
          <w:marTop w:val="0"/>
          <w:marBottom w:val="0"/>
          <w:divBdr>
            <w:top w:val="none" w:sz="0" w:space="0" w:color="auto"/>
            <w:left w:val="none" w:sz="0" w:space="0" w:color="auto"/>
            <w:bottom w:val="none" w:sz="0" w:space="0" w:color="auto"/>
            <w:right w:val="none" w:sz="0" w:space="0" w:color="auto"/>
          </w:divBdr>
        </w:div>
      </w:divsChild>
    </w:div>
    <w:div w:id="1458718460">
      <w:bodyDiv w:val="1"/>
      <w:marLeft w:val="0"/>
      <w:marRight w:val="0"/>
      <w:marTop w:val="0"/>
      <w:marBottom w:val="0"/>
      <w:divBdr>
        <w:top w:val="none" w:sz="0" w:space="0" w:color="auto"/>
        <w:left w:val="none" w:sz="0" w:space="0" w:color="auto"/>
        <w:bottom w:val="none" w:sz="0" w:space="0" w:color="auto"/>
        <w:right w:val="none" w:sz="0" w:space="0" w:color="auto"/>
      </w:divBdr>
      <w:divsChild>
        <w:div w:id="134377739">
          <w:marLeft w:val="0"/>
          <w:marRight w:val="0"/>
          <w:marTop w:val="0"/>
          <w:marBottom w:val="0"/>
          <w:divBdr>
            <w:top w:val="none" w:sz="0" w:space="0" w:color="auto"/>
            <w:left w:val="none" w:sz="0" w:space="0" w:color="auto"/>
            <w:bottom w:val="none" w:sz="0" w:space="0" w:color="auto"/>
            <w:right w:val="none" w:sz="0" w:space="0" w:color="auto"/>
          </w:divBdr>
        </w:div>
        <w:div w:id="556821378">
          <w:marLeft w:val="0"/>
          <w:marRight w:val="0"/>
          <w:marTop w:val="0"/>
          <w:marBottom w:val="0"/>
          <w:divBdr>
            <w:top w:val="none" w:sz="0" w:space="0" w:color="auto"/>
            <w:left w:val="none" w:sz="0" w:space="0" w:color="auto"/>
            <w:bottom w:val="none" w:sz="0" w:space="0" w:color="auto"/>
            <w:right w:val="none" w:sz="0" w:space="0" w:color="auto"/>
          </w:divBdr>
        </w:div>
        <w:div w:id="1749964226">
          <w:marLeft w:val="0"/>
          <w:marRight w:val="0"/>
          <w:marTop w:val="0"/>
          <w:marBottom w:val="0"/>
          <w:divBdr>
            <w:top w:val="none" w:sz="0" w:space="0" w:color="auto"/>
            <w:left w:val="none" w:sz="0" w:space="0" w:color="auto"/>
            <w:bottom w:val="none" w:sz="0" w:space="0" w:color="auto"/>
            <w:right w:val="none" w:sz="0" w:space="0" w:color="auto"/>
          </w:divBdr>
        </w:div>
        <w:div w:id="1761439150">
          <w:marLeft w:val="0"/>
          <w:marRight w:val="0"/>
          <w:marTop w:val="0"/>
          <w:marBottom w:val="0"/>
          <w:divBdr>
            <w:top w:val="none" w:sz="0" w:space="0" w:color="auto"/>
            <w:left w:val="none" w:sz="0" w:space="0" w:color="auto"/>
            <w:bottom w:val="none" w:sz="0" w:space="0" w:color="auto"/>
            <w:right w:val="none" w:sz="0" w:space="0" w:color="auto"/>
          </w:divBdr>
        </w:div>
        <w:div w:id="2049649012">
          <w:marLeft w:val="0"/>
          <w:marRight w:val="0"/>
          <w:marTop w:val="0"/>
          <w:marBottom w:val="0"/>
          <w:divBdr>
            <w:top w:val="none" w:sz="0" w:space="0" w:color="auto"/>
            <w:left w:val="none" w:sz="0" w:space="0" w:color="auto"/>
            <w:bottom w:val="none" w:sz="0" w:space="0" w:color="auto"/>
            <w:right w:val="none" w:sz="0" w:space="0" w:color="auto"/>
          </w:divBdr>
        </w:div>
      </w:divsChild>
    </w:div>
    <w:div w:id="1479956565">
      <w:bodyDiv w:val="1"/>
      <w:marLeft w:val="0"/>
      <w:marRight w:val="0"/>
      <w:marTop w:val="0"/>
      <w:marBottom w:val="0"/>
      <w:divBdr>
        <w:top w:val="none" w:sz="0" w:space="0" w:color="auto"/>
        <w:left w:val="none" w:sz="0" w:space="0" w:color="auto"/>
        <w:bottom w:val="none" w:sz="0" w:space="0" w:color="auto"/>
        <w:right w:val="none" w:sz="0" w:space="0" w:color="auto"/>
      </w:divBdr>
      <w:divsChild>
        <w:div w:id="727262493">
          <w:marLeft w:val="0"/>
          <w:marRight w:val="0"/>
          <w:marTop w:val="0"/>
          <w:marBottom w:val="0"/>
          <w:divBdr>
            <w:top w:val="none" w:sz="0" w:space="0" w:color="auto"/>
            <w:left w:val="none" w:sz="0" w:space="0" w:color="auto"/>
            <w:bottom w:val="none" w:sz="0" w:space="0" w:color="auto"/>
            <w:right w:val="none" w:sz="0" w:space="0" w:color="auto"/>
          </w:divBdr>
        </w:div>
        <w:div w:id="883516068">
          <w:marLeft w:val="0"/>
          <w:marRight w:val="0"/>
          <w:marTop w:val="0"/>
          <w:marBottom w:val="0"/>
          <w:divBdr>
            <w:top w:val="none" w:sz="0" w:space="0" w:color="auto"/>
            <w:left w:val="none" w:sz="0" w:space="0" w:color="auto"/>
            <w:bottom w:val="none" w:sz="0" w:space="0" w:color="auto"/>
            <w:right w:val="none" w:sz="0" w:space="0" w:color="auto"/>
          </w:divBdr>
        </w:div>
        <w:div w:id="1476995193">
          <w:marLeft w:val="0"/>
          <w:marRight w:val="0"/>
          <w:marTop w:val="0"/>
          <w:marBottom w:val="0"/>
          <w:divBdr>
            <w:top w:val="none" w:sz="0" w:space="0" w:color="auto"/>
            <w:left w:val="none" w:sz="0" w:space="0" w:color="auto"/>
            <w:bottom w:val="none" w:sz="0" w:space="0" w:color="auto"/>
            <w:right w:val="none" w:sz="0" w:space="0" w:color="auto"/>
          </w:divBdr>
        </w:div>
        <w:div w:id="1844126581">
          <w:marLeft w:val="0"/>
          <w:marRight w:val="0"/>
          <w:marTop w:val="0"/>
          <w:marBottom w:val="0"/>
          <w:divBdr>
            <w:top w:val="none" w:sz="0" w:space="0" w:color="auto"/>
            <w:left w:val="none" w:sz="0" w:space="0" w:color="auto"/>
            <w:bottom w:val="none" w:sz="0" w:space="0" w:color="auto"/>
            <w:right w:val="none" w:sz="0" w:space="0" w:color="auto"/>
          </w:divBdr>
        </w:div>
      </w:divsChild>
    </w:div>
    <w:div w:id="1496995952">
      <w:bodyDiv w:val="1"/>
      <w:marLeft w:val="0"/>
      <w:marRight w:val="0"/>
      <w:marTop w:val="0"/>
      <w:marBottom w:val="0"/>
      <w:divBdr>
        <w:top w:val="none" w:sz="0" w:space="0" w:color="auto"/>
        <w:left w:val="none" w:sz="0" w:space="0" w:color="auto"/>
        <w:bottom w:val="none" w:sz="0" w:space="0" w:color="auto"/>
        <w:right w:val="none" w:sz="0" w:space="0" w:color="auto"/>
      </w:divBdr>
      <w:divsChild>
        <w:div w:id="489641635">
          <w:marLeft w:val="0"/>
          <w:marRight w:val="0"/>
          <w:marTop w:val="0"/>
          <w:marBottom w:val="0"/>
          <w:divBdr>
            <w:top w:val="none" w:sz="0" w:space="0" w:color="auto"/>
            <w:left w:val="none" w:sz="0" w:space="0" w:color="auto"/>
            <w:bottom w:val="none" w:sz="0" w:space="0" w:color="auto"/>
            <w:right w:val="none" w:sz="0" w:space="0" w:color="auto"/>
          </w:divBdr>
        </w:div>
        <w:div w:id="1915049297">
          <w:marLeft w:val="0"/>
          <w:marRight w:val="0"/>
          <w:marTop w:val="0"/>
          <w:marBottom w:val="0"/>
          <w:divBdr>
            <w:top w:val="none" w:sz="0" w:space="0" w:color="auto"/>
            <w:left w:val="none" w:sz="0" w:space="0" w:color="auto"/>
            <w:bottom w:val="none" w:sz="0" w:space="0" w:color="auto"/>
            <w:right w:val="none" w:sz="0" w:space="0" w:color="auto"/>
          </w:divBdr>
        </w:div>
      </w:divsChild>
    </w:div>
    <w:div w:id="1512910488">
      <w:bodyDiv w:val="1"/>
      <w:marLeft w:val="0"/>
      <w:marRight w:val="0"/>
      <w:marTop w:val="0"/>
      <w:marBottom w:val="0"/>
      <w:divBdr>
        <w:top w:val="none" w:sz="0" w:space="0" w:color="auto"/>
        <w:left w:val="none" w:sz="0" w:space="0" w:color="auto"/>
        <w:bottom w:val="none" w:sz="0" w:space="0" w:color="auto"/>
        <w:right w:val="none" w:sz="0" w:space="0" w:color="auto"/>
      </w:divBdr>
      <w:divsChild>
        <w:div w:id="95836447">
          <w:marLeft w:val="0"/>
          <w:marRight w:val="0"/>
          <w:marTop w:val="0"/>
          <w:marBottom w:val="0"/>
          <w:divBdr>
            <w:top w:val="none" w:sz="0" w:space="0" w:color="auto"/>
            <w:left w:val="none" w:sz="0" w:space="0" w:color="auto"/>
            <w:bottom w:val="none" w:sz="0" w:space="0" w:color="auto"/>
            <w:right w:val="none" w:sz="0" w:space="0" w:color="auto"/>
          </w:divBdr>
        </w:div>
        <w:div w:id="400519001">
          <w:marLeft w:val="0"/>
          <w:marRight w:val="0"/>
          <w:marTop w:val="0"/>
          <w:marBottom w:val="0"/>
          <w:divBdr>
            <w:top w:val="none" w:sz="0" w:space="0" w:color="auto"/>
            <w:left w:val="none" w:sz="0" w:space="0" w:color="auto"/>
            <w:bottom w:val="none" w:sz="0" w:space="0" w:color="auto"/>
            <w:right w:val="none" w:sz="0" w:space="0" w:color="auto"/>
          </w:divBdr>
        </w:div>
        <w:div w:id="736518444">
          <w:marLeft w:val="0"/>
          <w:marRight w:val="0"/>
          <w:marTop w:val="0"/>
          <w:marBottom w:val="0"/>
          <w:divBdr>
            <w:top w:val="none" w:sz="0" w:space="0" w:color="auto"/>
            <w:left w:val="none" w:sz="0" w:space="0" w:color="auto"/>
            <w:bottom w:val="none" w:sz="0" w:space="0" w:color="auto"/>
            <w:right w:val="none" w:sz="0" w:space="0" w:color="auto"/>
          </w:divBdr>
        </w:div>
        <w:div w:id="1758287054">
          <w:marLeft w:val="0"/>
          <w:marRight w:val="0"/>
          <w:marTop w:val="0"/>
          <w:marBottom w:val="0"/>
          <w:divBdr>
            <w:top w:val="none" w:sz="0" w:space="0" w:color="auto"/>
            <w:left w:val="none" w:sz="0" w:space="0" w:color="auto"/>
            <w:bottom w:val="none" w:sz="0" w:space="0" w:color="auto"/>
            <w:right w:val="none" w:sz="0" w:space="0" w:color="auto"/>
          </w:divBdr>
        </w:div>
      </w:divsChild>
    </w:div>
    <w:div w:id="1531257530">
      <w:bodyDiv w:val="1"/>
      <w:marLeft w:val="0"/>
      <w:marRight w:val="0"/>
      <w:marTop w:val="0"/>
      <w:marBottom w:val="0"/>
      <w:divBdr>
        <w:top w:val="none" w:sz="0" w:space="0" w:color="auto"/>
        <w:left w:val="none" w:sz="0" w:space="0" w:color="auto"/>
        <w:bottom w:val="none" w:sz="0" w:space="0" w:color="auto"/>
        <w:right w:val="none" w:sz="0" w:space="0" w:color="auto"/>
      </w:divBdr>
      <w:divsChild>
        <w:div w:id="79523245">
          <w:marLeft w:val="0"/>
          <w:marRight w:val="0"/>
          <w:marTop w:val="0"/>
          <w:marBottom w:val="0"/>
          <w:divBdr>
            <w:top w:val="none" w:sz="0" w:space="0" w:color="auto"/>
            <w:left w:val="none" w:sz="0" w:space="0" w:color="auto"/>
            <w:bottom w:val="none" w:sz="0" w:space="0" w:color="auto"/>
            <w:right w:val="none" w:sz="0" w:space="0" w:color="auto"/>
          </w:divBdr>
        </w:div>
        <w:div w:id="486823255">
          <w:marLeft w:val="0"/>
          <w:marRight w:val="0"/>
          <w:marTop w:val="0"/>
          <w:marBottom w:val="0"/>
          <w:divBdr>
            <w:top w:val="none" w:sz="0" w:space="0" w:color="auto"/>
            <w:left w:val="none" w:sz="0" w:space="0" w:color="auto"/>
            <w:bottom w:val="none" w:sz="0" w:space="0" w:color="auto"/>
            <w:right w:val="none" w:sz="0" w:space="0" w:color="auto"/>
          </w:divBdr>
        </w:div>
        <w:div w:id="830869641">
          <w:marLeft w:val="0"/>
          <w:marRight w:val="0"/>
          <w:marTop w:val="0"/>
          <w:marBottom w:val="0"/>
          <w:divBdr>
            <w:top w:val="none" w:sz="0" w:space="0" w:color="auto"/>
            <w:left w:val="none" w:sz="0" w:space="0" w:color="auto"/>
            <w:bottom w:val="none" w:sz="0" w:space="0" w:color="auto"/>
            <w:right w:val="none" w:sz="0" w:space="0" w:color="auto"/>
          </w:divBdr>
        </w:div>
        <w:div w:id="1042481196">
          <w:marLeft w:val="0"/>
          <w:marRight w:val="0"/>
          <w:marTop w:val="0"/>
          <w:marBottom w:val="0"/>
          <w:divBdr>
            <w:top w:val="none" w:sz="0" w:space="0" w:color="auto"/>
            <w:left w:val="none" w:sz="0" w:space="0" w:color="auto"/>
            <w:bottom w:val="none" w:sz="0" w:space="0" w:color="auto"/>
            <w:right w:val="none" w:sz="0" w:space="0" w:color="auto"/>
          </w:divBdr>
        </w:div>
      </w:divsChild>
    </w:div>
    <w:div w:id="1599485359">
      <w:bodyDiv w:val="1"/>
      <w:marLeft w:val="0"/>
      <w:marRight w:val="0"/>
      <w:marTop w:val="0"/>
      <w:marBottom w:val="0"/>
      <w:divBdr>
        <w:top w:val="none" w:sz="0" w:space="0" w:color="auto"/>
        <w:left w:val="none" w:sz="0" w:space="0" w:color="auto"/>
        <w:bottom w:val="none" w:sz="0" w:space="0" w:color="auto"/>
        <w:right w:val="none" w:sz="0" w:space="0" w:color="auto"/>
      </w:divBdr>
    </w:div>
    <w:div w:id="1608385827">
      <w:bodyDiv w:val="1"/>
      <w:marLeft w:val="0"/>
      <w:marRight w:val="0"/>
      <w:marTop w:val="0"/>
      <w:marBottom w:val="0"/>
      <w:divBdr>
        <w:top w:val="none" w:sz="0" w:space="0" w:color="auto"/>
        <w:left w:val="none" w:sz="0" w:space="0" w:color="auto"/>
        <w:bottom w:val="none" w:sz="0" w:space="0" w:color="auto"/>
        <w:right w:val="none" w:sz="0" w:space="0" w:color="auto"/>
      </w:divBdr>
      <w:divsChild>
        <w:div w:id="462117026">
          <w:marLeft w:val="0"/>
          <w:marRight w:val="0"/>
          <w:marTop w:val="0"/>
          <w:marBottom w:val="0"/>
          <w:divBdr>
            <w:top w:val="none" w:sz="0" w:space="0" w:color="auto"/>
            <w:left w:val="none" w:sz="0" w:space="0" w:color="auto"/>
            <w:bottom w:val="none" w:sz="0" w:space="0" w:color="auto"/>
            <w:right w:val="none" w:sz="0" w:space="0" w:color="auto"/>
          </w:divBdr>
        </w:div>
        <w:div w:id="1175262243">
          <w:marLeft w:val="0"/>
          <w:marRight w:val="0"/>
          <w:marTop w:val="0"/>
          <w:marBottom w:val="0"/>
          <w:divBdr>
            <w:top w:val="none" w:sz="0" w:space="0" w:color="auto"/>
            <w:left w:val="none" w:sz="0" w:space="0" w:color="auto"/>
            <w:bottom w:val="none" w:sz="0" w:space="0" w:color="auto"/>
            <w:right w:val="none" w:sz="0" w:space="0" w:color="auto"/>
          </w:divBdr>
        </w:div>
      </w:divsChild>
    </w:div>
    <w:div w:id="1659336950">
      <w:bodyDiv w:val="1"/>
      <w:marLeft w:val="0"/>
      <w:marRight w:val="0"/>
      <w:marTop w:val="0"/>
      <w:marBottom w:val="0"/>
      <w:divBdr>
        <w:top w:val="none" w:sz="0" w:space="0" w:color="auto"/>
        <w:left w:val="none" w:sz="0" w:space="0" w:color="auto"/>
        <w:bottom w:val="none" w:sz="0" w:space="0" w:color="auto"/>
        <w:right w:val="none" w:sz="0" w:space="0" w:color="auto"/>
      </w:divBdr>
      <w:divsChild>
        <w:div w:id="1113944257">
          <w:marLeft w:val="0"/>
          <w:marRight w:val="0"/>
          <w:marTop w:val="0"/>
          <w:marBottom w:val="0"/>
          <w:divBdr>
            <w:top w:val="none" w:sz="0" w:space="0" w:color="auto"/>
            <w:left w:val="none" w:sz="0" w:space="0" w:color="auto"/>
            <w:bottom w:val="none" w:sz="0" w:space="0" w:color="auto"/>
            <w:right w:val="none" w:sz="0" w:space="0" w:color="auto"/>
          </w:divBdr>
        </w:div>
        <w:div w:id="1212493786">
          <w:marLeft w:val="0"/>
          <w:marRight w:val="0"/>
          <w:marTop w:val="0"/>
          <w:marBottom w:val="0"/>
          <w:divBdr>
            <w:top w:val="none" w:sz="0" w:space="0" w:color="auto"/>
            <w:left w:val="none" w:sz="0" w:space="0" w:color="auto"/>
            <w:bottom w:val="none" w:sz="0" w:space="0" w:color="auto"/>
            <w:right w:val="none" w:sz="0" w:space="0" w:color="auto"/>
          </w:divBdr>
        </w:div>
        <w:div w:id="2129275712">
          <w:marLeft w:val="0"/>
          <w:marRight w:val="0"/>
          <w:marTop w:val="0"/>
          <w:marBottom w:val="0"/>
          <w:divBdr>
            <w:top w:val="none" w:sz="0" w:space="0" w:color="auto"/>
            <w:left w:val="none" w:sz="0" w:space="0" w:color="auto"/>
            <w:bottom w:val="none" w:sz="0" w:space="0" w:color="auto"/>
            <w:right w:val="none" w:sz="0" w:space="0" w:color="auto"/>
          </w:divBdr>
        </w:div>
      </w:divsChild>
    </w:div>
    <w:div w:id="1673946850">
      <w:bodyDiv w:val="1"/>
      <w:marLeft w:val="0"/>
      <w:marRight w:val="0"/>
      <w:marTop w:val="0"/>
      <w:marBottom w:val="0"/>
      <w:divBdr>
        <w:top w:val="none" w:sz="0" w:space="0" w:color="auto"/>
        <w:left w:val="none" w:sz="0" w:space="0" w:color="auto"/>
        <w:bottom w:val="none" w:sz="0" w:space="0" w:color="auto"/>
        <w:right w:val="none" w:sz="0" w:space="0" w:color="auto"/>
      </w:divBdr>
      <w:divsChild>
        <w:div w:id="512230152">
          <w:marLeft w:val="0"/>
          <w:marRight w:val="0"/>
          <w:marTop w:val="0"/>
          <w:marBottom w:val="0"/>
          <w:divBdr>
            <w:top w:val="none" w:sz="0" w:space="0" w:color="auto"/>
            <w:left w:val="none" w:sz="0" w:space="0" w:color="auto"/>
            <w:bottom w:val="none" w:sz="0" w:space="0" w:color="auto"/>
            <w:right w:val="none" w:sz="0" w:space="0" w:color="auto"/>
          </w:divBdr>
        </w:div>
        <w:div w:id="878591812">
          <w:marLeft w:val="0"/>
          <w:marRight w:val="0"/>
          <w:marTop w:val="0"/>
          <w:marBottom w:val="0"/>
          <w:divBdr>
            <w:top w:val="none" w:sz="0" w:space="0" w:color="auto"/>
            <w:left w:val="none" w:sz="0" w:space="0" w:color="auto"/>
            <w:bottom w:val="none" w:sz="0" w:space="0" w:color="auto"/>
            <w:right w:val="none" w:sz="0" w:space="0" w:color="auto"/>
          </w:divBdr>
        </w:div>
        <w:div w:id="1424061437">
          <w:marLeft w:val="0"/>
          <w:marRight w:val="0"/>
          <w:marTop w:val="0"/>
          <w:marBottom w:val="0"/>
          <w:divBdr>
            <w:top w:val="none" w:sz="0" w:space="0" w:color="auto"/>
            <w:left w:val="none" w:sz="0" w:space="0" w:color="auto"/>
            <w:bottom w:val="none" w:sz="0" w:space="0" w:color="auto"/>
            <w:right w:val="none" w:sz="0" w:space="0" w:color="auto"/>
          </w:divBdr>
        </w:div>
      </w:divsChild>
    </w:div>
    <w:div w:id="1731883728">
      <w:bodyDiv w:val="1"/>
      <w:marLeft w:val="0"/>
      <w:marRight w:val="0"/>
      <w:marTop w:val="0"/>
      <w:marBottom w:val="0"/>
      <w:divBdr>
        <w:top w:val="none" w:sz="0" w:space="0" w:color="auto"/>
        <w:left w:val="none" w:sz="0" w:space="0" w:color="auto"/>
        <w:bottom w:val="none" w:sz="0" w:space="0" w:color="auto"/>
        <w:right w:val="none" w:sz="0" w:space="0" w:color="auto"/>
      </w:divBdr>
      <w:divsChild>
        <w:div w:id="803281097">
          <w:marLeft w:val="0"/>
          <w:marRight w:val="0"/>
          <w:marTop w:val="0"/>
          <w:marBottom w:val="0"/>
          <w:divBdr>
            <w:top w:val="none" w:sz="0" w:space="0" w:color="auto"/>
            <w:left w:val="none" w:sz="0" w:space="0" w:color="auto"/>
            <w:bottom w:val="none" w:sz="0" w:space="0" w:color="auto"/>
            <w:right w:val="none" w:sz="0" w:space="0" w:color="auto"/>
          </w:divBdr>
        </w:div>
        <w:div w:id="1477259890">
          <w:marLeft w:val="0"/>
          <w:marRight w:val="0"/>
          <w:marTop w:val="0"/>
          <w:marBottom w:val="0"/>
          <w:divBdr>
            <w:top w:val="none" w:sz="0" w:space="0" w:color="auto"/>
            <w:left w:val="none" w:sz="0" w:space="0" w:color="auto"/>
            <w:bottom w:val="none" w:sz="0" w:space="0" w:color="auto"/>
            <w:right w:val="none" w:sz="0" w:space="0" w:color="auto"/>
          </w:divBdr>
        </w:div>
      </w:divsChild>
    </w:div>
    <w:div w:id="1767462390">
      <w:bodyDiv w:val="1"/>
      <w:marLeft w:val="0"/>
      <w:marRight w:val="0"/>
      <w:marTop w:val="0"/>
      <w:marBottom w:val="0"/>
      <w:divBdr>
        <w:top w:val="none" w:sz="0" w:space="0" w:color="auto"/>
        <w:left w:val="none" w:sz="0" w:space="0" w:color="auto"/>
        <w:bottom w:val="none" w:sz="0" w:space="0" w:color="auto"/>
        <w:right w:val="none" w:sz="0" w:space="0" w:color="auto"/>
      </w:divBdr>
      <w:divsChild>
        <w:div w:id="458382225">
          <w:marLeft w:val="0"/>
          <w:marRight w:val="0"/>
          <w:marTop w:val="0"/>
          <w:marBottom w:val="0"/>
          <w:divBdr>
            <w:top w:val="none" w:sz="0" w:space="0" w:color="auto"/>
            <w:left w:val="none" w:sz="0" w:space="0" w:color="auto"/>
            <w:bottom w:val="none" w:sz="0" w:space="0" w:color="auto"/>
            <w:right w:val="none" w:sz="0" w:space="0" w:color="auto"/>
          </w:divBdr>
        </w:div>
        <w:div w:id="489056620">
          <w:marLeft w:val="0"/>
          <w:marRight w:val="0"/>
          <w:marTop w:val="0"/>
          <w:marBottom w:val="0"/>
          <w:divBdr>
            <w:top w:val="none" w:sz="0" w:space="0" w:color="auto"/>
            <w:left w:val="none" w:sz="0" w:space="0" w:color="auto"/>
            <w:bottom w:val="none" w:sz="0" w:space="0" w:color="auto"/>
            <w:right w:val="none" w:sz="0" w:space="0" w:color="auto"/>
          </w:divBdr>
        </w:div>
        <w:div w:id="1999722720">
          <w:marLeft w:val="0"/>
          <w:marRight w:val="0"/>
          <w:marTop w:val="0"/>
          <w:marBottom w:val="0"/>
          <w:divBdr>
            <w:top w:val="none" w:sz="0" w:space="0" w:color="auto"/>
            <w:left w:val="none" w:sz="0" w:space="0" w:color="auto"/>
            <w:bottom w:val="none" w:sz="0" w:space="0" w:color="auto"/>
            <w:right w:val="none" w:sz="0" w:space="0" w:color="auto"/>
          </w:divBdr>
        </w:div>
      </w:divsChild>
    </w:div>
    <w:div w:id="1778022040">
      <w:bodyDiv w:val="1"/>
      <w:marLeft w:val="0"/>
      <w:marRight w:val="0"/>
      <w:marTop w:val="0"/>
      <w:marBottom w:val="0"/>
      <w:divBdr>
        <w:top w:val="none" w:sz="0" w:space="0" w:color="auto"/>
        <w:left w:val="none" w:sz="0" w:space="0" w:color="auto"/>
        <w:bottom w:val="none" w:sz="0" w:space="0" w:color="auto"/>
        <w:right w:val="none" w:sz="0" w:space="0" w:color="auto"/>
      </w:divBdr>
      <w:divsChild>
        <w:div w:id="837380512">
          <w:marLeft w:val="0"/>
          <w:marRight w:val="0"/>
          <w:marTop w:val="0"/>
          <w:marBottom w:val="0"/>
          <w:divBdr>
            <w:top w:val="none" w:sz="0" w:space="0" w:color="auto"/>
            <w:left w:val="none" w:sz="0" w:space="0" w:color="auto"/>
            <w:bottom w:val="none" w:sz="0" w:space="0" w:color="auto"/>
            <w:right w:val="none" w:sz="0" w:space="0" w:color="auto"/>
          </w:divBdr>
        </w:div>
        <w:div w:id="1335113614">
          <w:marLeft w:val="0"/>
          <w:marRight w:val="0"/>
          <w:marTop w:val="0"/>
          <w:marBottom w:val="0"/>
          <w:divBdr>
            <w:top w:val="none" w:sz="0" w:space="0" w:color="auto"/>
            <w:left w:val="none" w:sz="0" w:space="0" w:color="auto"/>
            <w:bottom w:val="none" w:sz="0" w:space="0" w:color="auto"/>
            <w:right w:val="none" w:sz="0" w:space="0" w:color="auto"/>
          </w:divBdr>
        </w:div>
      </w:divsChild>
    </w:div>
    <w:div w:id="1831214318">
      <w:bodyDiv w:val="1"/>
      <w:marLeft w:val="0"/>
      <w:marRight w:val="0"/>
      <w:marTop w:val="0"/>
      <w:marBottom w:val="0"/>
      <w:divBdr>
        <w:top w:val="none" w:sz="0" w:space="0" w:color="auto"/>
        <w:left w:val="none" w:sz="0" w:space="0" w:color="auto"/>
        <w:bottom w:val="none" w:sz="0" w:space="0" w:color="auto"/>
        <w:right w:val="none" w:sz="0" w:space="0" w:color="auto"/>
      </w:divBdr>
      <w:divsChild>
        <w:div w:id="165749675">
          <w:marLeft w:val="0"/>
          <w:marRight w:val="0"/>
          <w:marTop w:val="0"/>
          <w:marBottom w:val="0"/>
          <w:divBdr>
            <w:top w:val="none" w:sz="0" w:space="0" w:color="auto"/>
            <w:left w:val="none" w:sz="0" w:space="0" w:color="auto"/>
            <w:bottom w:val="none" w:sz="0" w:space="0" w:color="auto"/>
            <w:right w:val="none" w:sz="0" w:space="0" w:color="auto"/>
          </w:divBdr>
        </w:div>
        <w:div w:id="1230072092">
          <w:marLeft w:val="0"/>
          <w:marRight w:val="0"/>
          <w:marTop w:val="0"/>
          <w:marBottom w:val="0"/>
          <w:divBdr>
            <w:top w:val="none" w:sz="0" w:space="0" w:color="auto"/>
            <w:left w:val="none" w:sz="0" w:space="0" w:color="auto"/>
            <w:bottom w:val="none" w:sz="0" w:space="0" w:color="auto"/>
            <w:right w:val="none" w:sz="0" w:space="0" w:color="auto"/>
          </w:divBdr>
        </w:div>
        <w:div w:id="1841699811">
          <w:marLeft w:val="0"/>
          <w:marRight w:val="0"/>
          <w:marTop w:val="0"/>
          <w:marBottom w:val="0"/>
          <w:divBdr>
            <w:top w:val="none" w:sz="0" w:space="0" w:color="auto"/>
            <w:left w:val="none" w:sz="0" w:space="0" w:color="auto"/>
            <w:bottom w:val="none" w:sz="0" w:space="0" w:color="auto"/>
            <w:right w:val="none" w:sz="0" w:space="0" w:color="auto"/>
          </w:divBdr>
        </w:div>
        <w:div w:id="1964191166">
          <w:marLeft w:val="0"/>
          <w:marRight w:val="0"/>
          <w:marTop w:val="0"/>
          <w:marBottom w:val="0"/>
          <w:divBdr>
            <w:top w:val="none" w:sz="0" w:space="0" w:color="auto"/>
            <w:left w:val="none" w:sz="0" w:space="0" w:color="auto"/>
            <w:bottom w:val="none" w:sz="0" w:space="0" w:color="auto"/>
            <w:right w:val="none" w:sz="0" w:space="0" w:color="auto"/>
          </w:divBdr>
        </w:div>
      </w:divsChild>
    </w:div>
    <w:div w:id="1930498860">
      <w:bodyDiv w:val="1"/>
      <w:marLeft w:val="0"/>
      <w:marRight w:val="0"/>
      <w:marTop w:val="0"/>
      <w:marBottom w:val="0"/>
      <w:divBdr>
        <w:top w:val="none" w:sz="0" w:space="0" w:color="auto"/>
        <w:left w:val="none" w:sz="0" w:space="0" w:color="auto"/>
        <w:bottom w:val="none" w:sz="0" w:space="0" w:color="auto"/>
        <w:right w:val="none" w:sz="0" w:space="0" w:color="auto"/>
      </w:divBdr>
      <w:divsChild>
        <w:div w:id="278534097">
          <w:marLeft w:val="0"/>
          <w:marRight w:val="0"/>
          <w:marTop w:val="0"/>
          <w:marBottom w:val="0"/>
          <w:divBdr>
            <w:top w:val="none" w:sz="0" w:space="0" w:color="auto"/>
            <w:left w:val="none" w:sz="0" w:space="0" w:color="auto"/>
            <w:bottom w:val="none" w:sz="0" w:space="0" w:color="auto"/>
            <w:right w:val="none" w:sz="0" w:space="0" w:color="auto"/>
          </w:divBdr>
        </w:div>
        <w:div w:id="720448869">
          <w:marLeft w:val="0"/>
          <w:marRight w:val="0"/>
          <w:marTop w:val="0"/>
          <w:marBottom w:val="0"/>
          <w:divBdr>
            <w:top w:val="none" w:sz="0" w:space="0" w:color="auto"/>
            <w:left w:val="none" w:sz="0" w:space="0" w:color="auto"/>
            <w:bottom w:val="none" w:sz="0" w:space="0" w:color="auto"/>
            <w:right w:val="none" w:sz="0" w:space="0" w:color="auto"/>
          </w:divBdr>
        </w:div>
        <w:div w:id="1053651832">
          <w:marLeft w:val="0"/>
          <w:marRight w:val="0"/>
          <w:marTop w:val="0"/>
          <w:marBottom w:val="0"/>
          <w:divBdr>
            <w:top w:val="none" w:sz="0" w:space="0" w:color="auto"/>
            <w:left w:val="none" w:sz="0" w:space="0" w:color="auto"/>
            <w:bottom w:val="none" w:sz="0" w:space="0" w:color="auto"/>
            <w:right w:val="none" w:sz="0" w:space="0" w:color="auto"/>
          </w:divBdr>
        </w:div>
      </w:divsChild>
    </w:div>
    <w:div w:id="1966344850">
      <w:bodyDiv w:val="1"/>
      <w:marLeft w:val="0"/>
      <w:marRight w:val="0"/>
      <w:marTop w:val="0"/>
      <w:marBottom w:val="0"/>
      <w:divBdr>
        <w:top w:val="none" w:sz="0" w:space="0" w:color="auto"/>
        <w:left w:val="none" w:sz="0" w:space="0" w:color="auto"/>
        <w:bottom w:val="none" w:sz="0" w:space="0" w:color="auto"/>
        <w:right w:val="none" w:sz="0" w:space="0" w:color="auto"/>
      </w:divBdr>
      <w:divsChild>
        <w:div w:id="1122118579">
          <w:marLeft w:val="0"/>
          <w:marRight w:val="0"/>
          <w:marTop w:val="0"/>
          <w:marBottom w:val="0"/>
          <w:divBdr>
            <w:top w:val="none" w:sz="0" w:space="0" w:color="auto"/>
            <w:left w:val="none" w:sz="0" w:space="0" w:color="auto"/>
            <w:bottom w:val="none" w:sz="0" w:space="0" w:color="auto"/>
            <w:right w:val="none" w:sz="0" w:space="0" w:color="auto"/>
          </w:divBdr>
        </w:div>
        <w:div w:id="1509560486">
          <w:marLeft w:val="0"/>
          <w:marRight w:val="0"/>
          <w:marTop w:val="0"/>
          <w:marBottom w:val="0"/>
          <w:divBdr>
            <w:top w:val="none" w:sz="0" w:space="0" w:color="auto"/>
            <w:left w:val="none" w:sz="0" w:space="0" w:color="auto"/>
            <w:bottom w:val="none" w:sz="0" w:space="0" w:color="auto"/>
            <w:right w:val="none" w:sz="0" w:space="0" w:color="auto"/>
          </w:divBdr>
        </w:div>
      </w:divsChild>
    </w:div>
    <w:div w:id="1998455001">
      <w:bodyDiv w:val="1"/>
      <w:marLeft w:val="0"/>
      <w:marRight w:val="0"/>
      <w:marTop w:val="0"/>
      <w:marBottom w:val="0"/>
      <w:divBdr>
        <w:top w:val="none" w:sz="0" w:space="0" w:color="auto"/>
        <w:left w:val="none" w:sz="0" w:space="0" w:color="auto"/>
        <w:bottom w:val="none" w:sz="0" w:space="0" w:color="auto"/>
        <w:right w:val="none" w:sz="0" w:space="0" w:color="auto"/>
      </w:divBdr>
      <w:divsChild>
        <w:div w:id="478226744">
          <w:marLeft w:val="0"/>
          <w:marRight w:val="0"/>
          <w:marTop w:val="0"/>
          <w:marBottom w:val="0"/>
          <w:divBdr>
            <w:top w:val="none" w:sz="0" w:space="0" w:color="auto"/>
            <w:left w:val="none" w:sz="0" w:space="0" w:color="auto"/>
            <w:bottom w:val="none" w:sz="0" w:space="0" w:color="auto"/>
            <w:right w:val="none" w:sz="0" w:space="0" w:color="auto"/>
          </w:divBdr>
        </w:div>
        <w:div w:id="1621112098">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1320</TotalTime>
  <Pages>9</Pages>
  <Words>1151</Words>
  <Characters>6564</Characters>
  <Application>Microsoft Office Word</Application>
  <DocSecurity>0</DocSecurity>
  <PresentationFormat/>
  <Lines>54</Lines>
  <Paragraphs>15</Paragraphs>
  <Slides>0</Slides>
  <Notes>0</Notes>
  <HiddenSlides>0</HiddenSlides>
  <MMClips>0</MMClips>
  <ScaleCrop>false</ScaleCrop>
  <Manager/>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《公开发行证券的公司信息披露编报规则第21号</dc:title>
  <dc:subject/>
  <dc:creator>wuxiaoye</dc:creator>
  <cp:keywords/>
  <dc:description/>
  <cp:lastModifiedBy>周玲</cp:lastModifiedBy>
  <cp:revision>260</cp:revision>
  <cp:lastPrinted>2022-04-26T04:50:00Z</cp:lastPrinted>
  <dcterms:created xsi:type="dcterms:W3CDTF">2023-04-03T10:44:00Z</dcterms:created>
  <dcterms:modified xsi:type="dcterms:W3CDTF">2025-04-21T01:16:00Z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